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00" w:beforeLines="0" w:afterLines="0" w:line="360" w:lineRule="exact"/>
        <w:jc w:val="center"/>
        <w:rPr>
          <w:rFonts w:hint="eastAsia" w:ascii="黑体" w:hAnsi="黑体" w:eastAsia="黑体" w:cs="黑体"/>
          <w:sz w:val="36"/>
          <w:szCs w:val="36"/>
        </w:rPr>
      </w:pPr>
      <w:r>
        <w:rPr>
          <w:rFonts w:hint="eastAsia" w:ascii="黑体" w:hAnsi="黑体" w:eastAsia="黑体" w:cs="黑体"/>
          <w:color w:val="000000"/>
          <w:sz w:val="32"/>
          <w:szCs w:val="32"/>
        </w:rPr>
        <w:t>新能源汽车</w:t>
      </w:r>
      <w:r>
        <w:rPr>
          <w:rFonts w:hint="eastAsia" w:ascii="黑体" w:hAnsi="黑体" w:eastAsia="黑体" w:cs="黑体"/>
          <w:color w:val="000000"/>
          <w:sz w:val="32"/>
          <w:szCs w:val="32"/>
          <w:lang w:val="en-US" w:eastAsia="zh-CN"/>
        </w:rPr>
        <w:t>检测与维修</w:t>
      </w:r>
      <w:r>
        <w:rPr>
          <w:rFonts w:hint="eastAsia" w:ascii="黑体" w:hAnsi="黑体" w:eastAsia="黑体" w:cs="黑体"/>
          <w:color w:val="000000"/>
          <w:sz w:val="32"/>
          <w:szCs w:val="32"/>
        </w:rPr>
        <w:t>技术专业人才培养方案</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0" w:firstLineChars="200"/>
        <w:jc w:val="left"/>
        <w:textAlignment w:val="auto"/>
        <w:rPr>
          <w:rStyle w:val="8"/>
          <w:rFonts w:hint="eastAsia" w:ascii="黑体" w:hAnsi="黑体" w:eastAsia="黑体"/>
          <w:b w:val="0"/>
          <w:bCs/>
          <w:sz w:val="24"/>
          <w:szCs w:val="24"/>
        </w:rPr>
      </w:pPr>
      <w:bookmarkStart w:id="0" w:name="_Toc2920"/>
      <w:bookmarkStart w:id="1" w:name="_Toc11385"/>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0" w:firstLineChars="200"/>
        <w:jc w:val="left"/>
        <w:textAlignment w:val="auto"/>
        <w:rPr>
          <w:rFonts w:hint="default" w:ascii="宋体" w:hAnsi="宋体" w:eastAsia="宋体" w:cs="宋体"/>
          <w:sz w:val="24"/>
          <w:szCs w:val="24"/>
        </w:rPr>
      </w:pPr>
      <w:r>
        <w:rPr>
          <w:rStyle w:val="8"/>
          <w:rFonts w:hint="eastAsia" w:ascii="黑体" w:hAnsi="黑体" w:eastAsia="黑体"/>
          <w:b w:val="0"/>
          <w:bCs/>
          <w:sz w:val="24"/>
          <w:szCs w:val="24"/>
        </w:rPr>
        <w:t>一、专业名称及代码</w:t>
      </w:r>
      <w:r>
        <w:rPr>
          <w:rStyle w:val="8"/>
          <w:rFonts w:hint="default"/>
          <w:b w:val="0"/>
          <w:bCs/>
          <w:sz w:val="24"/>
          <w:szCs w:val="24"/>
        </w:rPr>
        <w:t xml:space="preserve"> </w:t>
      </w:r>
      <w:bookmarkEnd w:id="0"/>
      <w:bookmarkEnd w:id="1"/>
    </w:p>
    <w:p>
      <w:pPr>
        <w:bidi w:val="0"/>
        <w:ind w:firstLine="900" w:firstLineChars="300"/>
        <w:rPr>
          <w:rFonts w:hint="eastAsia"/>
          <w:lang w:val="en-US" w:eastAsia="zh-CN"/>
        </w:rPr>
      </w:pPr>
      <w:r>
        <w:rPr>
          <w:rFonts w:hint="eastAsia"/>
          <w:lang w:val="en-US" w:eastAsia="zh-CN"/>
        </w:rPr>
        <w:t xml:space="preserve">专业名称：新能源汽车检测与维修技术 </w:t>
      </w:r>
    </w:p>
    <w:p>
      <w:pPr>
        <w:bidi w:val="0"/>
        <w:ind w:firstLine="900" w:firstLineChars="300"/>
        <w:rPr>
          <w:rFonts w:hint="eastAsia"/>
          <w:lang w:val="en-US" w:eastAsia="zh-CN"/>
        </w:rPr>
      </w:pPr>
      <w:r>
        <w:rPr>
          <w:rFonts w:hint="eastAsia"/>
          <w:lang w:val="en-US" w:eastAsia="zh-CN"/>
        </w:rPr>
        <w:t xml:space="preserve">专业代码：500212 </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0" w:firstLineChars="200"/>
        <w:jc w:val="left"/>
        <w:textAlignment w:val="auto"/>
        <w:rPr>
          <w:rFonts w:hint="default" w:ascii="Times New Roman" w:hAnsi="Times New Roman"/>
          <w:b w:val="0"/>
          <w:bCs/>
          <w:sz w:val="24"/>
          <w:szCs w:val="24"/>
        </w:rPr>
      </w:pPr>
      <w:bookmarkStart w:id="2" w:name="_Toc21227"/>
      <w:bookmarkStart w:id="3" w:name="_Toc20298"/>
      <w:r>
        <w:rPr>
          <w:rStyle w:val="8"/>
          <w:rFonts w:hint="eastAsia" w:ascii="黑体" w:hAnsi="黑体" w:eastAsia="黑体"/>
          <w:b w:val="0"/>
          <w:bCs/>
          <w:sz w:val="24"/>
          <w:szCs w:val="24"/>
        </w:rPr>
        <w:t xml:space="preserve">二、入学要求（招生对象） </w:t>
      </w:r>
      <w:bookmarkEnd w:id="2"/>
      <w:bookmarkEnd w:id="3"/>
      <w:r>
        <w:rPr>
          <w:rStyle w:val="8"/>
          <w:rFonts w:hint="eastAsia" w:ascii="黑体" w:hAnsi="黑体" w:eastAsia="黑体"/>
          <w:b w:val="0"/>
          <w:bCs/>
          <w:sz w:val="24"/>
          <w:szCs w:val="24"/>
          <w:lang w:val="en-US" w:eastAsia="zh-CN"/>
        </w:rPr>
        <w:t xml:space="preserve">  </w:t>
      </w:r>
    </w:p>
    <w:p>
      <w:pPr>
        <w:bidi w:val="0"/>
        <w:ind w:firstLine="900" w:firstLineChars="300"/>
        <w:rPr>
          <w:rFonts w:hint="default"/>
          <w:lang w:val="en-US" w:eastAsia="zh-CN"/>
        </w:rPr>
      </w:pPr>
      <w:r>
        <w:rPr>
          <w:rFonts w:hint="eastAsia"/>
          <w:lang w:val="en-US" w:eastAsia="zh-CN"/>
        </w:rPr>
        <w:t xml:space="preserve">普通初级中学毕业，或具备同等学力者。 </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0" w:firstLineChars="200"/>
        <w:jc w:val="left"/>
        <w:textAlignment w:val="auto"/>
        <w:rPr>
          <w:rFonts w:hint="eastAsia" w:ascii="黑体" w:hAnsi="黑体" w:eastAsia="黑体"/>
          <w:b w:val="0"/>
          <w:bCs/>
          <w:sz w:val="24"/>
          <w:szCs w:val="24"/>
        </w:rPr>
      </w:pPr>
      <w:bookmarkStart w:id="4" w:name="_Toc24093"/>
      <w:bookmarkStart w:id="5" w:name="_Toc13421"/>
      <w:r>
        <w:rPr>
          <w:rStyle w:val="8"/>
          <w:rFonts w:hint="eastAsia" w:ascii="黑体" w:hAnsi="黑体" w:eastAsia="黑体"/>
          <w:b w:val="0"/>
          <w:bCs/>
          <w:sz w:val="24"/>
          <w:szCs w:val="24"/>
        </w:rPr>
        <w:t>三、修业年限及</w:t>
      </w:r>
      <w:r>
        <w:rPr>
          <w:rStyle w:val="8"/>
          <w:rFonts w:hint="eastAsia" w:ascii="黑体" w:hAnsi="黑体" w:eastAsia="黑体"/>
          <w:b w:val="0"/>
          <w:bCs/>
          <w:sz w:val="24"/>
          <w:szCs w:val="24"/>
          <w:lang w:eastAsia="zh-CN"/>
        </w:rPr>
        <w:t>学历</w:t>
      </w:r>
      <w:r>
        <w:rPr>
          <w:rStyle w:val="8"/>
          <w:rFonts w:hint="eastAsia" w:ascii="黑体" w:hAnsi="黑体" w:eastAsia="黑体"/>
          <w:b w:val="0"/>
          <w:bCs/>
          <w:sz w:val="24"/>
          <w:szCs w:val="24"/>
        </w:rPr>
        <w:t xml:space="preserve"> </w:t>
      </w:r>
      <w:bookmarkEnd w:id="4"/>
      <w:bookmarkEnd w:id="5"/>
    </w:p>
    <w:p>
      <w:pPr>
        <w:bidi w:val="0"/>
        <w:ind w:firstLine="900" w:firstLineChars="300"/>
        <w:rPr>
          <w:rFonts w:hint="eastAsia"/>
          <w:lang w:val="en-US" w:eastAsia="zh-CN"/>
        </w:rPr>
      </w:pPr>
      <w:r>
        <w:rPr>
          <w:rFonts w:hint="eastAsia"/>
          <w:lang w:val="en-US" w:eastAsia="zh-CN"/>
        </w:rPr>
        <w:t>学制：五年</w:t>
      </w:r>
    </w:p>
    <w:p>
      <w:pPr>
        <w:bidi w:val="0"/>
        <w:ind w:firstLine="900" w:firstLineChars="300"/>
        <w:rPr>
          <w:rFonts w:hint="default"/>
          <w:lang w:val="en-US" w:eastAsia="zh-CN"/>
        </w:rPr>
      </w:pPr>
      <w:r>
        <w:rPr>
          <w:rFonts w:hint="eastAsia"/>
          <w:lang w:val="en-US" w:eastAsia="zh-CN"/>
        </w:rPr>
        <w:t>学历：大专</w:t>
      </w:r>
    </w:p>
    <w:p>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400" w:lineRule="exact"/>
        <w:ind w:left="0" w:firstLine="480" w:firstLineChars="200"/>
        <w:jc w:val="left"/>
        <w:textAlignment w:val="auto"/>
        <w:rPr>
          <w:rStyle w:val="8"/>
          <w:rFonts w:hint="eastAsia" w:ascii="黑体" w:hAnsi="黑体" w:eastAsia="黑体"/>
          <w:b w:val="0"/>
          <w:bCs/>
          <w:sz w:val="24"/>
          <w:szCs w:val="24"/>
          <w:lang w:eastAsia="zh-CN"/>
        </w:rPr>
      </w:pPr>
      <w:r>
        <w:rPr>
          <w:rStyle w:val="8"/>
          <w:rFonts w:hint="eastAsia" w:ascii="黑体" w:hAnsi="黑体" w:eastAsia="黑体"/>
          <w:b w:val="0"/>
          <w:bCs/>
          <w:sz w:val="24"/>
          <w:szCs w:val="24"/>
          <w:lang w:eastAsia="zh-CN"/>
        </w:rPr>
        <w:t>职业面向</w:t>
      </w:r>
    </w:p>
    <w:p>
      <w:pPr>
        <w:pStyle w:val="2"/>
        <w:numPr>
          <w:ilvl w:val="0"/>
          <w:numId w:val="0"/>
        </w:numPr>
        <w:ind w:firstLine="2400" w:firstLineChars="1000"/>
        <w:rPr>
          <w:rFonts w:hint="eastAsia" w:ascii="宋体" w:hAnsi="Times New Roman" w:eastAsia="仿宋_GB2312" w:cs="Times New Roman"/>
          <w:b w:val="0"/>
          <w:bCs/>
          <w:color w:val="000000"/>
          <w:kern w:val="2"/>
          <w:sz w:val="24"/>
          <w:szCs w:val="24"/>
          <w:lang w:val="en-US" w:eastAsia="zh-CN" w:bidi="ar-SA"/>
        </w:rPr>
      </w:pPr>
      <w:r>
        <w:rPr>
          <w:rFonts w:hint="eastAsia" w:ascii="宋体" w:hAnsi="Times New Roman" w:eastAsia="仿宋_GB2312" w:cs="Times New Roman"/>
          <w:b w:val="0"/>
          <w:bCs/>
          <w:color w:val="000000"/>
          <w:kern w:val="2"/>
          <w:sz w:val="24"/>
          <w:szCs w:val="24"/>
          <w:lang w:val="en-US" w:eastAsia="zh-CN" w:bidi="ar-SA"/>
        </w:rPr>
        <w:t>表1 汽车检测与维修技术专业面向岗位</w:t>
      </w:r>
    </w:p>
    <w:p>
      <w:pPr>
        <w:pStyle w:val="2"/>
        <w:jc w:val="center"/>
        <w:rPr>
          <w:rFonts w:hint="default"/>
          <w:lang w:val="en-US" w:eastAsia="zh-CN"/>
        </w:rPr>
      </w:pPr>
      <w:bookmarkStart w:id="6" w:name="_Toc18861"/>
      <w:bookmarkStart w:id="7" w:name="_Toc17823"/>
      <w:r>
        <w:rPr>
          <w:rFonts w:hint="eastAsia" w:eastAsia="黑体"/>
          <w:lang w:eastAsia="zh-CN"/>
        </w:rPr>
        <w:drawing>
          <wp:inline distT="0" distB="0" distL="114300" distR="114300">
            <wp:extent cx="5372100" cy="2228850"/>
            <wp:effectExtent l="0" t="0" r="0"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pic:cNvPicPr>
                  </pic:nvPicPr>
                  <pic:blipFill>
                    <a:blip r:embed="rId4"/>
                    <a:stretch>
                      <a:fillRect/>
                    </a:stretch>
                  </pic:blipFill>
                  <pic:spPr>
                    <a:xfrm>
                      <a:off x="0" y="0"/>
                      <a:ext cx="5372100" cy="2228850"/>
                    </a:xfrm>
                    <a:prstGeom prst="rect">
                      <a:avLst/>
                    </a:prstGeom>
                    <a:noFill/>
                    <a:ln>
                      <a:noFill/>
                    </a:ln>
                  </pic:spPr>
                </pic:pic>
              </a:graphicData>
            </a:graphic>
          </wp:inline>
        </w:drawing>
      </w:r>
    </w:p>
    <w:p>
      <w:pPr>
        <w:keepNext w:val="0"/>
        <w:keepLines w:val="0"/>
        <w:pageBreakBefore w:val="0"/>
        <w:widowControl w:val="0"/>
        <w:numPr>
          <w:ilvl w:val="0"/>
          <w:numId w:val="0"/>
        </w:numPr>
        <w:kinsoku/>
        <w:wordWrap/>
        <w:topLinePunct w:val="0"/>
        <w:autoSpaceDE/>
        <w:autoSpaceDN/>
        <w:bidi w:val="0"/>
        <w:adjustRightInd/>
        <w:spacing w:line="400" w:lineRule="exact"/>
        <w:ind w:left="0" w:firstLine="480" w:firstLineChars="200"/>
        <w:jc w:val="left"/>
        <w:textAlignment w:val="auto"/>
        <w:rPr>
          <w:rStyle w:val="8"/>
          <w:rFonts w:hint="eastAsia" w:ascii="黑体" w:hAnsi="黑体" w:eastAsia="黑体"/>
          <w:b w:val="0"/>
          <w:bCs w:val="0"/>
          <w:sz w:val="24"/>
          <w:szCs w:val="24"/>
          <w:lang w:val="en-US" w:eastAsia="zh-CN"/>
        </w:rPr>
      </w:pPr>
      <w:r>
        <w:rPr>
          <w:rStyle w:val="8"/>
          <w:rFonts w:hint="eastAsia" w:ascii="黑体" w:hAnsi="黑体" w:eastAsia="黑体"/>
          <w:b w:val="0"/>
          <w:bCs w:val="0"/>
          <w:sz w:val="24"/>
          <w:szCs w:val="24"/>
          <w:lang w:val="en-US" w:eastAsia="zh-CN"/>
        </w:rPr>
        <w:t>五、培养目标与培养规格</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val="0"/>
          <w:bCs/>
          <w:color w:val="000000"/>
          <w:sz w:val="24"/>
          <w:szCs w:val="24"/>
          <w:lang w:val="en-US" w:eastAsia="zh-CN"/>
        </w:rPr>
      </w:pPr>
      <w:r>
        <w:rPr>
          <w:rFonts w:hint="eastAsia" w:ascii="宋体" w:hAnsi="Times New Roman"/>
          <w:b/>
          <w:bCs/>
          <w:color w:val="000000"/>
          <w:sz w:val="24"/>
          <w:szCs w:val="24"/>
          <w:lang w:val="en-US" w:eastAsia="zh-CN"/>
        </w:rPr>
        <w:t>（一）培养目标</w:t>
      </w:r>
    </w:p>
    <w:p>
      <w:pPr>
        <w:bidi w:val="0"/>
        <w:rPr>
          <w:rFonts w:hint="eastAsia"/>
          <w:lang w:val="en-US" w:eastAsia="zh-CN"/>
        </w:rPr>
      </w:pPr>
      <w:r>
        <w:rPr>
          <w:rFonts w:hint="eastAsia"/>
          <w:lang w:val="en-US" w:eastAsia="zh-CN"/>
        </w:rPr>
        <w:t>本专业培养思想政治坚定，德、智、体、美、劳全面发展，具有职业教育专科层次的科学文化水平，较好的人文素养、职业道德和创新意识，精益求精的工匠精神，较强的就业能力和可持续发展的能力，掌握新能源汽车结构、原理以及新能源汽车故障诊断与排除等知识和新能源汽车机电维修、维护与保养、维修质量检验等技术技能，面向新能源汽车制造行业、新能源汽车维修行业等技术领域，能够从事新能源汽车质量检测、新能源汽车机电维修等工作的复合型、创新型、发展型高素质技术技能人才。</w:t>
      </w:r>
    </w:p>
    <w:p>
      <w:pPr>
        <w:keepNext w:val="0"/>
        <w:keepLines w:val="0"/>
        <w:pageBreakBefore w:val="0"/>
        <w:widowControl w:val="0"/>
        <w:kinsoku/>
        <w:wordWrap/>
        <w:overflowPunct/>
        <w:topLinePunct w:val="0"/>
        <w:autoSpaceDE/>
        <w:autoSpaceDN/>
        <w:bidi w:val="0"/>
        <w:adjustRightInd/>
        <w:snapToGrid/>
        <w:spacing w:line="400" w:lineRule="exact"/>
        <w:ind w:left="0" w:firstLine="482" w:firstLineChars="200"/>
        <w:jc w:val="left"/>
        <w:textAlignment w:val="auto"/>
        <w:rPr>
          <w:rFonts w:hint="eastAsia" w:ascii="宋体" w:hAnsi="Times New Roman"/>
          <w:b/>
          <w:bCs/>
          <w:color w:val="000000"/>
          <w:sz w:val="24"/>
          <w:szCs w:val="24"/>
          <w:lang w:val="en-US" w:eastAsia="zh-CN"/>
        </w:rPr>
      </w:pPr>
      <w:r>
        <w:rPr>
          <w:rFonts w:hint="eastAsia" w:ascii="宋体" w:hAnsi="Times New Roman"/>
          <w:b/>
          <w:bCs/>
          <w:color w:val="000000"/>
          <w:sz w:val="24"/>
          <w:szCs w:val="24"/>
          <w:lang w:val="en-US" w:eastAsia="zh-CN"/>
        </w:rPr>
        <w:t>（二）培养规格</w:t>
      </w:r>
    </w:p>
    <w:p>
      <w:pPr>
        <w:bidi w:val="0"/>
        <w:rPr>
          <w:rFonts w:hint="eastAsia"/>
          <w:lang w:val="en-US" w:eastAsia="zh-CN"/>
        </w:rPr>
      </w:pPr>
      <w:r>
        <w:rPr>
          <w:rFonts w:hint="eastAsia"/>
          <w:lang w:val="en-US" w:eastAsia="zh-CN"/>
        </w:rPr>
        <w:t>1.素质要求</w:t>
      </w:r>
    </w:p>
    <w:p>
      <w:pPr>
        <w:bidi w:val="0"/>
        <w:rPr>
          <w:rFonts w:hint="eastAsia"/>
          <w:lang w:val="en-US" w:eastAsia="zh-CN"/>
        </w:rPr>
      </w:pPr>
      <w:r>
        <w:rPr>
          <w:rFonts w:hint="eastAsia"/>
          <w:lang w:val="en-US" w:eastAsia="zh-CN"/>
        </w:rPr>
        <w:t>（1）坚定拥护中国共产党领导和我国社会主义制度，在习近平新时代中国特色社会主义思想指引下，践行社会主义核心价值观，具有深厚的爱国情感和中华民族自豪感；</w:t>
      </w:r>
    </w:p>
    <w:p>
      <w:pPr>
        <w:bidi w:val="0"/>
        <w:rPr>
          <w:rFonts w:hint="eastAsia"/>
          <w:lang w:val="en-US" w:eastAsia="zh-CN"/>
        </w:rPr>
      </w:pPr>
      <w:r>
        <w:rPr>
          <w:rFonts w:hint="eastAsia"/>
          <w:lang w:val="en-US" w:eastAsia="zh-CN"/>
        </w:rPr>
        <w:t>（2）崇尚宪法、遵法守纪、崇德向善、诚实守信、尊重生命、热爱劳动，履行道德准则和行为规范，具有社会责任感和社会参与意识；</w:t>
      </w:r>
    </w:p>
    <w:p>
      <w:pPr>
        <w:bidi w:val="0"/>
        <w:rPr>
          <w:rFonts w:hint="eastAsia"/>
          <w:lang w:val="en-US" w:eastAsia="zh-CN"/>
        </w:rPr>
      </w:pPr>
      <w:r>
        <w:rPr>
          <w:rFonts w:hint="eastAsia"/>
          <w:lang w:val="en-US" w:eastAsia="zh-CN"/>
        </w:rPr>
        <w:t>（3）具有质量意识、环保意识、安全意识、信息素养、工匠精神和创新思维；</w:t>
      </w:r>
    </w:p>
    <w:p>
      <w:pPr>
        <w:bidi w:val="0"/>
        <w:rPr>
          <w:rFonts w:hint="eastAsia"/>
          <w:lang w:val="en-US" w:eastAsia="zh-CN"/>
        </w:rPr>
      </w:pPr>
      <w:r>
        <w:rPr>
          <w:rFonts w:hint="eastAsia"/>
          <w:lang w:val="en-US" w:eastAsia="zh-CN"/>
        </w:rPr>
        <w:t>（4）勇于奋斗、乐观向上，具有自我管理能力、职业生涯规划的意识，有较强的集体意识和团队合作精神；</w:t>
      </w:r>
    </w:p>
    <w:p>
      <w:pPr>
        <w:bidi w:val="0"/>
        <w:rPr>
          <w:rFonts w:hint="eastAsia"/>
          <w:lang w:val="en-US" w:eastAsia="zh-CN"/>
        </w:rPr>
      </w:pPr>
      <w:r>
        <w:rPr>
          <w:rFonts w:hint="eastAsia"/>
          <w:lang w:val="en-US" w:eastAsia="zh-CN"/>
        </w:rPr>
        <w:t>（5）具有健康的体魄、心理和健全的人格，掌握基本运动知识和篮球、足球等运动技能，养成良好的健身与卫生习惯，良好的行为习惯；</w:t>
      </w:r>
    </w:p>
    <w:p>
      <w:pPr>
        <w:bidi w:val="0"/>
        <w:rPr>
          <w:rFonts w:hint="eastAsia"/>
          <w:lang w:val="en-US" w:eastAsia="zh-CN"/>
        </w:rPr>
      </w:pPr>
      <w:r>
        <w:rPr>
          <w:rFonts w:hint="eastAsia"/>
          <w:lang w:val="en-US" w:eastAsia="zh-CN"/>
        </w:rPr>
        <w:t>（6）具有感受美、表现美、鉴赏美、创造美的能力，掌握一定的学习方法，具有良好的生活习惯、行为习惯和自我管理能力。</w:t>
      </w:r>
    </w:p>
    <w:p>
      <w:pPr>
        <w:bidi w:val="0"/>
        <w:rPr>
          <w:rFonts w:hint="eastAsia"/>
          <w:lang w:val="en-US" w:eastAsia="zh-CN"/>
        </w:rPr>
      </w:pPr>
      <w:r>
        <w:rPr>
          <w:rFonts w:hint="eastAsia"/>
          <w:lang w:val="en-US" w:eastAsia="zh-CN"/>
        </w:rPr>
        <w:t>2.知识要求</w:t>
      </w:r>
    </w:p>
    <w:p>
      <w:pPr>
        <w:bidi w:val="0"/>
        <w:rPr>
          <w:rFonts w:hint="eastAsia"/>
          <w:lang w:val="en-US" w:eastAsia="zh-CN"/>
        </w:rPr>
      </w:pPr>
      <w:r>
        <w:rPr>
          <w:rFonts w:hint="eastAsia"/>
          <w:lang w:val="en-US" w:eastAsia="zh-CN"/>
        </w:rPr>
        <w:t>（1）掌握必备的思想政治理论、科学文化基础知识和中华优秀传统文化知识；</w:t>
      </w:r>
    </w:p>
    <w:p>
      <w:pPr>
        <w:bidi w:val="0"/>
        <w:rPr>
          <w:rFonts w:hint="eastAsia"/>
          <w:lang w:val="en-US" w:eastAsia="zh-CN"/>
        </w:rPr>
      </w:pPr>
      <w:r>
        <w:rPr>
          <w:rFonts w:hint="eastAsia"/>
          <w:lang w:val="en-US" w:eastAsia="zh-CN"/>
        </w:rPr>
        <w:t>（2）熟悉与本专业相关的法律法规以及环境保护、安全消防等知识；</w:t>
      </w:r>
    </w:p>
    <w:p>
      <w:pPr>
        <w:bidi w:val="0"/>
        <w:rPr>
          <w:rFonts w:hint="eastAsia"/>
          <w:lang w:val="en-US" w:eastAsia="zh-CN"/>
        </w:rPr>
      </w:pPr>
      <w:r>
        <w:rPr>
          <w:rFonts w:hint="eastAsia"/>
          <w:lang w:val="en-US" w:eastAsia="zh-CN"/>
        </w:rPr>
        <w:t>（3）掌握汽车各部分的组成及工作原理；</w:t>
      </w:r>
    </w:p>
    <w:p>
      <w:pPr>
        <w:bidi w:val="0"/>
        <w:rPr>
          <w:rFonts w:hint="eastAsia"/>
          <w:lang w:val="en-US" w:eastAsia="zh-CN"/>
        </w:rPr>
      </w:pPr>
      <w:r>
        <w:rPr>
          <w:rFonts w:hint="eastAsia"/>
          <w:lang w:val="en-US" w:eastAsia="zh-CN"/>
        </w:rPr>
        <w:t>（4）掌握新能源汽车电池、底盘、新能源汽车电气系统的检测与维修方法；</w:t>
      </w:r>
    </w:p>
    <w:p>
      <w:pPr>
        <w:bidi w:val="0"/>
        <w:rPr>
          <w:rFonts w:hint="eastAsia"/>
          <w:lang w:val="en-US" w:eastAsia="zh-CN"/>
        </w:rPr>
      </w:pPr>
      <w:r>
        <w:rPr>
          <w:rFonts w:hint="eastAsia"/>
          <w:lang w:val="en-US" w:eastAsia="zh-CN"/>
        </w:rPr>
        <w:t>（5）掌握新能源汽车检测常用仪器、工具和设备的选择、维护与操作规程；</w:t>
      </w:r>
    </w:p>
    <w:p>
      <w:pPr>
        <w:bidi w:val="0"/>
        <w:rPr>
          <w:rFonts w:hint="eastAsia"/>
          <w:lang w:val="en-US" w:eastAsia="zh-CN"/>
        </w:rPr>
      </w:pPr>
      <w:r>
        <w:rPr>
          <w:rFonts w:hint="eastAsia"/>
          <w:lang w:val="en-US" w:eastAsia="zh-CN"/>
        </w:rPr>
        <w:t>（6）掌握新能源汽车性能检测及故障诊断相关知识；</w:t>
      </w:r>
    </w:p>
    <w:p>
      <w:pPr>
        <w:bidi w:val="0"/>
        <w:rPr>
          <w:rFonts w:hint="eastAsia"/>
          <w:lang w:val="en-US" w:eastAsia="zh-CN"/>
        </w:rPr>
      </w:pPr>
      <w:r>
        <w:rPr>
          <w:rFonts w:hint="eastAsia"/>
          <w:lang w:val="en-US" w:eastAsia="zh-CN"/>
        </w:rPr>
        <w:t>（7）具备使用和维护电动汽车、电池、电机及电控系统的能力；</w:t>
      </w:r>
    </w:p>
    <w:p>
      <w:pPr>
        <w:bidi w:val="0"/>
        <w:rPr>
          <w:rFonts w:hint="eastAsia"/>
          <w:lang w:val="en-US" w:eastAsia="zh-CN"/>
        </w:rPr>
      </w:pPr>
      <w:r>
        <w:rPr>
          <w:rFonts w:hint="eastAsia"/>
          <w:lang w:val="en-US" w:eastAsia="zh-CN"/>
        </w:rPr>
        <w:t>（8）了解汽车制造相关的国家标准和国际标准，掌握节能与新能源相关知识；</w:t>
      </w:r>
    </w:p>
    <w:p>
      <w:pPr>
        <w:bidi w:val="0"/>
        <w:rPr>
          <w:rFonts w:hint="eastAsia"/>
          <w:lang w:val="en-US" w:eastAsia="zh-CN"/>
        </w:rPr>
      </w:pPr>
      <w:r>
        <w:rPr>
          <w:rFonts w:hint="eastAsia"/>
          <w:lang w:val="en-US" w:eastAsia="zh-CN"/>
        </w:rPr>
        <w:t>（9）掌握新能源汽车的组成、工作原理及使用维护等相关知识；</w:t>
      </w:r>
    </w:p>
    <w:p>
      <w:pPr>
        <w:bidi w:val="0"/>
        <w:rPr>
          <w:rFonts w:hint="eastAsia"/>
          <w:lang w:val="en-US" w:eastAsia="zh-CN"/>
        </w:rPr>
      </w:pPr>
      <w:r>
        <w:rPr>
          <w:rFonts w:hint="eastAsia"/>
          <w:lang w:val="en-US" w:eastAsia="zh-CN"/>
        </w:rPr>
        <w:t>（10）掌握新能源汽车整车及汽车配件营销、汽车售后服务、汽车美容与装饰、二手车鉴定与评估、汽车保险与理赔方面的专业相关知识。</w:t>
      </w:r>
    </w:p>
    <w:p>
      <w:pPr>
        <w:bidi w:val="0"/>
        <w:rPr>
          <w:rFonts w:hint="eastAsia"/>
          <w:lang w:val="en-US" w:eastAsia="zh-CN"/>
        </w:rPr>
      </w:pPr>
      <w:r>
        <w:rPr>
          <w:rFonts w:hint="eastAsia"/>
          <w:lang w:val="en-US" w:eastAsia="zh-CN"/>
        </w:rPr>
        <w:t>3.能力要求</w:t>
      </w:r>
    </w:p>
    <w:p>
      <w:pPr>
        <w:bidi w:val="0"/>
        <w:rPr>
          <w:rFonts w:hint="eastAsia"/>
          <w:lang w:val="en-US" w:eastAsia="zh-CN"/>
        </w:rPr>
      </w:pPr>
      <w:r>
        <w:rPr>
          <w:rFonts w:hint="eastAsia"/>
          <w:lang w:val="en-US" w:eastAsia="zh-CN"/>
        </w:rPr>
        <w:t>（1）具有探究学习、终身学习、分析问题和解决问题的能力；</w:t>
      </w:r>
    </w:p>
    <w:p>
      <w:pPr>
        <w:bidi w:val="0"/>
        <w:rPr>
          <w:rFonts w:hint="eastAsia"/>
          <w:lang w:val="en-US" w:eastAsia="zh-CN"/>
        </w:rPr>
      </w:pPr>
      <w:r>
        <w:rPr>
          <w:rFonts w:hint="eastAsia"/>
          <w:lang w:val="en-US" w:eastAsia="zh-CN"/>
        </w:rPr>
        <w:t>（2）具有良好的语言、文字表达能力和沟通能力；</w:t>
      </w:r>
    </w:p>
    <w:p>
      <w:pPr>
        <w:bidi w:val="0"/>
        <w:rPr>
          <w:rFonts w:hint="eastAsia"/>
          <w:lang w:val="en-US" w:eastAsia="zh-CN"/>
        </w:rPr>
      </w:pPr>
      <w:r>
        <w:rPr>
          <w:rFonts w:hint="eastAsia"/>
          <w:lang w:val="en-US" w:eastAsia="zh-CN"/>
        </w:rPr>
        <w:t>（3）具备本专业必需的信息技术应用和维护能力；</w:t>
      </w:r>
    </w:p>
    <w:p>
      <w:pPr>
        <w:bidi w:val="0"/>
        <w:rPr>
          <w:rFonts w:hint="eastAsia"/>
          <w:lang w:val="en-US" w:eastAsia="zh-CN"/>
        </w:rPr>
      </w:pPr>
      <w:r>
        <w:rPr>
          <w:rFonts w:hint="eastAsia"/>
          <w:lang w:val="en-US" w:eastAsia="zh-CN"/>
        </w:rPr>
        <w:t>（4）具备对汽车电路图的识读与分析能力；</w:t>
      </w:r>
    </w:p>
    <w:p>
      <w:pPr>
        <w:bidi w:val="0"/>
        <w:rPr>
          <w:rFonts w:hint="eastAsia"/>
          <w:lang w:val="en-US" w:eastAsia="zh-CN"/>
        </w:rPr>
      </w:pPr>
      <w:r>
        <w:rPr>
          <w:rFonts w:hint="eastAsia"/>
          <w:lang w:val="en-US" w:eastAsia="zh-CN"/>
        </w:rPr>
        <w:t>（5）具备车辆各总成和系统部件的拆卸、标记与装配能力；</w:t>
      </w:r>
    </w:p>
    <w:p>
      <w:pPr>
        <w:bidi w:val="0"/>
        <w:rPr>
          <w:rFonts w:hint="eastAsia"/>
          <w:lang w:val="en-US" w:eastAsia="zh-CN"/>
        </w:rPr>
      </w:pPr>
      <w:r>
        <w:rPr>
          <w:rFonts w:hint="eastAsia"/>
          <w:lang w:val="en-US" w:eastAsia="zh-CN"/>
        </w:rPr>
        <w:t>（6）具备熟练操作新能源汽车检测与维修常用设备、仪器及工具的能力；</w:t>
      </w:r>
    </w:p>
    <w:p>
      <w:pPr>
        <w:bidi w:val="0"/>
        <w:rPr>
          <w:rFonts w:hint="eastAsia"/>
          <w:lang w:val="en-US" w:eastAsia="zh-CN"/>
        </w:rPr>
      </w:pPr>
      <w:r>
        <w:rPr>
          <w:rFonts w:hint="eastAsia"/>
          <w:lang w:val="en-US" w:eastAsia="zh-CN"/>
        </w:rPr>
        <w:t>（7）具备制定维修方案，排除汽车综合故障的能力等；</w:t>
      </w:r>
    </w:p>
    <w:p>
      <w:pPr>
        <w:bidi w:val="0"/>
        <w:rPr>
          <w:rFonts w:hint="eastAsia"/>
          <w:lang w:val="en-US" w:eastAsia="zh-CN"/>
        </w:rPr>
      </w:pPr>
      <w:r>
        <w:rPr>
          <w:rFonts w:hint="eastAsia"/>
          <w:lang w:val="en-US" w:eastAsia="zh-CN"/>
        </w:rPr>
        <w:t>（8）具备良好的人际交往、组织协调和公共关系处理能力；</w:t>
      </w:r>
    </w:p>
    <w:p>
      <w:pPr>
        <w:bidi w:val="0"/>
        <w:rPr>
          <w:rFonts w:hint="eastAsia"/>
          <w:lang w:val="en-US" w:eastAsia="zh-CN"/>
        </w:rPr>
      </w:pPr>
      <w:r>
        <w:rPr>
          <w:rFonts w:hint="eastAsia"/>
          <w:lang w:val="en-US" w:eastAsia="zh-CN"/>
        </w:rPr>
        <w:t>（9）具有较强的集体意识和社会责任心，具有爱岗敬业、艰苦奋斗的团队协作精神，具备创业意识，具有创新创业能力。</w:t>
      </w:r>
    </w:p>
    <w:p>
      <w:pPr>
        <w:keepNext w:val="0"/>
        <w:keepLines w:val="0"/>
        <w:pageBreakBefore w:val="0"/>
        <w:widowControl w:val="0"/>
        <w:numPr>
          <w:ilvl w:val="0"/>
          <w:numId w:val="0"/>
        </w:numPr>
        <w:kinsoku/>
        <w:wordWrap/>
        <w:topLinePunct w:val="0"/>
        <w:autoSpaceDE/>
        <w:autoSpaceDN/>
        <w:bidi w:val="0"/>
        <w:adjustRightInd/>
        <w:spacing w:line="400" w:lineRule="exact"/>
        <w:ind w:left="0" w:firstLine="480" w:firstLineChars="200"/>
        <w:jc w:val="left"/>
        <w:textAlignment w:val="auto"/>
        <w:rPr>
          <w:rStyle w:val="8"/>
          <w:rFonts w:hint="eastAsia" w:ascii="黑体" w:hAnsi="黑体" w:eastAsia="黑体" w:cstheme="minorBidi"/>
          <w:b w:val="0"/>
          <w:bCs w:val="0"/>
          <w:sz w:val="24"/>
          <w:szCs w:val="24"/>
          <w:lang w:val="en-US" w:eastAsia="zh-CN"/>
        </w:rPr>
      </w:pPr>
      <w:r>
        <w:rPr>
          <w:rStyle w:val="8"/>
          <w:rFonts w:hint="eastAsia" w:ascii="黑体" w:hAnsi="黑体" w:eastAsia="黑体" w:cstheme="minorBidi"/>
          <w:b w:val="0"/>
          <w:bCs w:val="0"/>
          <w:sz w:val="24"/>
          <w:szCs w:val="24"/>
          <w:lang w:val="en-US" w:eastAsia="zh-CN"/>
        </w:rPr>
        <w:t>六、职业能力分析</w:t>
      </w:r>
    </w:p>
    <w:p>
      <w:pPr>
        <w:keepNext w:val="0"/>
        <w:keepLines w:val="0"/>
        <w:pageBreakBefore w:val="0"/>
        <w:widowControl w:val="0"/>
        <w:kinsoku/>
        <w:wordWrap/>
        <w:overflowPunct/>
        <w:topLinePunct w:val="0"/>
        <w:autoSpaceDE/>
        <w:autoSpaceDN/>
        <w:bidi w:val="0"/>
        <w:adjustRightInd/>
        <w:snapToGrid/>
        <w:spacing w:line="400" w:lineRule="exact"/>
        <w:ind w:left="0" w:firstLine="480" w:firstLineChars="200"/>
        <w:jc w:val="left"/>
        <w:textAlignment w:val="auto"/>
        <w:rPr>
          <w:rFonts w:hint="eastAsia" w:ascii="宋体" w:hAnsi="Times New Roman"/>
          <w:b w:val="0"/>
          <w:bCs w:val="0"/>
          <w:color w:val="000000"/>
          <w:sz w:val="24"/>
          <w:szCs w:val="24"/>
          <w:lang w:val="en-US" w:eastAsia="zh-CN"/>
        </w:rPr>
      </w:pPr>
      <w:r>
        <w:rPr>
          <w:rFonts w:hint="eastAsia" w:ascii="宋体" w:hAnsi="宋体" w:eastAsia="宋体" w:cs="宋体"/>
          <w:b w:val="0"/>
          <w:bCs/>
          <w:color w:val="000000"/>
          <w:sz w:val="24"/>
          <w:szCs w:val="24"/>
          <w:lang w:val="en-US" w:eastAsia="zh-CN"/>
        </w:rPr>
        <w:t>通过对主要岗位类别分析，凝炼典型工作任务，明确完成该任务需要的职业能力，导出支撑职业能力的课程，其中专业核心课程用★表示，详见表2。</w:t>
      </w:r>
    </w:p>
    <w:p>
      <w:pPr>
        <w:keepNext w:val="0"/>
        <w:keepLines w:val="0"/>
        <w:pageBreakBefore w:val="0"/>
        <w:widowControl w:val="0"/>
        <w:kinsoku/>
        <w:wordWrap/>
        <w:overflowPunct/>
        <w:topLinePunct w:val="0"/>
        <w:autoSpaceDE/>
        <w:autoSpaceDN/>
        <w:bidi w:val="0"/>
        <w:adjustRightInd/>
        <w:snapToGrid/>
        <w:spacing w:line="400" w:lineRule="exact"/>
        <w:ind w:firstLine="2160" w:firstLineChars="900"/>
        <w:jc w:val="left"/>
        <w:textAlignment w:val="auto"/>
        <w:rPr>
          <w:rFonts w:hint="eastAsia" w:ascii="宋体" w:hAnsi="Times New Roman"/>
          <w:b w:val="0"/>
          <w:bCs w:val="0"/>
          <w:color w:val="000000"/>
          <w:sz w:val="24"/>
          <w:szCs w:val="24"/>
          <w:lang w:val="en-US" w:eastAsia="zh-CN"/>
        </w:rPr>
      </w:pPr>
      <w:r>
        <w:rPr>
          <w:rFonts w:hint="eastAsia" w:ascii="宋体" w:hAnsi="Times New Roman"/>
          <w:b w:val="0"/>
          <w:bCs w:val="0"/>
          <w:color w:val="000000"/>
          <w:sz w:val="24"/>
          <w:szCs w:val="24"/>
          <w:lang w:val="en-US" w:eastAsia="zh-CN"/>
        </w:rPr>
        <w:t>表2 主要岗位类别与支撑职业能力课程</w:t>
      </w:r>
    </w:p>
    <w:tbl>
      <w:tblPr>
        <w:tblStyle w:val="6"/>
        <w:tblW w:w="88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1258"/>
        <w:gridCol w:w="2478"/>
        <w:gridCol w:w="1690"/>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blHeader/>
          <w:jc w:val="center"/>
        </w:trPr>
        <w:tc>
          <w:tcPr>
            <w:tcW w:w="630" w:type="dxa"/>
            <w:vAlign w:val="center"/>
          </w:tcPr>
          <w:p>
            <w:pPr>
              <w:jc w:val="center"/>
              <w:rPr>
                <w:rFonts w:ascii="楷体" w:hAnsi="楷体" w:eastAsia="楷体" w:cs="宋体"/>
                <w:b/>
                <w:color w:val="000000" w:themeColor="text1"/>
                <w:sz w:val="24"/>
                <w:szCs w:val="24"/>
                <w14:textFill>
                  <w14:solidFill>
                    <w14:schemeClr w14:val="tx1"/>
                  </w14:solidFill>
                </w14:textFill>
              </w:rPr>
            </w:pPr>
            <w:r>
              <w:rPr>
                <w:rFonts w:hint="eastAsia" w:ascii="楷体" w:hAnsi="楷体" w:eastAsia="楷体" w:cs="宋体"/>
                <w:b/>
                <w:bCs/>
                <w:color w:val="000000" w:themeColor="text1"/>
                <w:kern w:val="0"/>
                <w:sz w:val="24"/>
                <w:szCs w:val="24"/>
                <w14:textFill>
                  <w14:solidFill>
                    <w14:schemeClr w14:val="tx1"/>
                  </w14:solidFill>
                </w14:textFill>
              </w:rPr>
              <w:t>序号</w:t>
            </w:r>
          </w:p>
        </w:tc>
        <w:tc>
          <w:tcPr>
            <w:tcW w:w="1258" w:type="dxa"/>
            <w:vAlign w:val="center"/>
          </w:tcPr>
          <w:p>
            <w:pPr>
              <w:ind w:firstLine="120" w:firstLineChars="50"/>
              <w:jc w:val="center"/>
              <w:rPr>
                <w:rFonts w:ascii="楷体" w:hAnsi="楷体" w:eastAsia="楷体" w:cs="宋体"/>
                <w:b/>
                <w:bCs/>
                <w:color w:val="000000" w:themeColor="text1"/>
                <w:kern w:val="0"/>
                <w:sz w:val="24"/>
                <w:szCs w:val="24"/>
                <w14:textFill>
                  <w14:solidFill>
                    <w14:schemeClr w14:val="tx1"/>
                  </w14:solidFill>
                </w14:textFill>
              </w:rPr>
            </w:pPr>
            <w:r>
              <w:rPr>
                <w:rFonts w:hint="eastAsia" w:ascii="楷体" w:hAnsi="楷体" w:eastAsia="楷体" w:cs="宋体"/>
                <w:b/>
                <w:bCs/>
                <w:color w:val="000000" w:themeColor="text1"/>
                <w:kern w:val="0"/>
                <w:sz w:val="24"/>
                <w:szCs w:val="24"/>
                <w14:textFill>
                  <w14:solidFill>
                    <w14:schemeClr w14:val="tx1"/>
                  </w14:solidFill>
                </w14:textFill>
              </w:rPr>
              <w:t>主要岗位类别</w:t>
            </w:r>
          </w:p>
        </w:tc>
        <w:tc>
          <w:tcPr>
            <w:tcW w:w="2478" w:type="dxa"/>
            <w:vAlign w:val="center"/>
          </w:tcPr>
          <w:p>
            <w:pPr>
              <w:jc w:val="center"/>
              <w:rPr>
                <w:rFonts w:ascii="楷体" w:hAnsi="楷体" w:eastAsia="楷体" w:cs="宋体"/>
                <w:b/>
                <w:bCs/>
                <w:color w:val="000000" w:themeColor="text1"/>
                <w:kern w:val="0"/>
                <w:sz w:val="24"/>
                <w:szCs w:val="24"/>
                <w14:textFill>
                  <w14:solidFill>
                    <w14:schemeClr w14:val="tx1"/>
                  </w14:solidFill>
                </w14:textFill>
              </w:rPr>
            </w:pPr>
            <w:r>
              <w:rPr>
                <w:rFonts w:hint="eastAsia" w:ascii="楷体" w:hAnsi="楷体" w:eastAsia="楷体" w:cs="宋体"/>
                <w:b/>
                <w:bCs/>
                <w:color w:val="000000" w:themeColor="text1"/>
                <w:kern w:val="0"/>
                <w:sz w:val="24"/>
                <w:szCs w:val="24"/>
                <w14:textFill>
                  <w14:solidFill>
                    <w14:schemeClr w14:val="tx1"/>
                  </w14:solidFill>
                </w14:textFill>
              </w:rPr>
              <w:t>典型工作任务</w:t>
            </w:r>
          </w:p>
        </w:tc>
        <w:tc>
          <w:tcPr>
            <w:tcW w:w="1690" w:type="dxa"/>
            <w:vAlign w:val="center"/>
          </w:tcPr>
          <w:p>
            <w:pPr>
              <w:jc w:val="center"/>
              <w:rPr>
                <w:rFonts w:ascii="楷体" w:hAnsi="楷体" w:eastAsia="楷体" w:cs="宋体"/>
                <w:b/>
                <w:bCs/>
                <w:color w:val="000000" w:themeColor="text1"/>
                <w:kern w:val="0"/>
                <w:sz w:val="24"/>
                <w:szCs w:val="24"/>
                <w14:textFill>
                  <w14:solidFill>
                    <w14:schemeClr w14:val="tx1"/>
                  </w14:solidFill>
                </w14:textFill>
              </w:rPr>
            </w:pPr>
            <w:r>
              <w:rPr>
                <w:rFonts w:hint="eastAsia" w:ascii="楷体" w:hAnsi="楷体" w:eastAsia="楷体" w:cs="宋体"/>
                <w:b/>
                <w:bCs/>
                <w:color w:val="000000" w:themeColor="text1"/>
                <w:kern w:val="0"/>
                <w:sz w:val="24"/>
                <w:szCs w:val="24"/>
                <w14:textFill>
                  <w14:solidFill>
                    <w14:schemeClr w14:val="tx1"/>
                  </w14:solidFill>
                </w14:textFill>
              </w:rPr>
              <w:t>职业能力</w:t>
            </w:r>
          </w:p>
        </w:tc>
        <w:tc>
          <w:tcPr>
            <w:tcW w:w="2835" w:type="dxa"/>
            <w:vAlign w:val="center"/>
          </w:tcPr>
          <w:p>
            <w:pPr>
              <w:jc w:val="center"/>
              <w:rPr>
                <w:rFonts w:ascii="楷体" w:hAnsi="楷体" w:eastAsia="楷体" w:cs="宋体"/>
                <w:b/>
                <w:bCs/>
                <w:color w:val="000000" w:themeColor="text1"/>
                <w:kern w:val="0"/>
                <w:sz w:val="24"/>
                <w:szCs w:val="24"/>
                <w14:textFill>
                  <w14:solidFill>
                    <w14:schemeClr w14:val="tx1"/>
                  </w14:solidFill>
                </w14:textFill>
              </w:rPr>
            </w:pPr>
            <w:r>
              <w:rPr>
                <w:rFonts w:hint="eastAsia" w:ascii="楷体" w:hAnsi="楷体" w:eastAsia="楷体" w:cs="宋体"/>
                <w:b/>
                <w:bCs/>
                <w:color w:val="000000" w:themeColor="text1"/>
                <w:kern w:val="0"/>
                <w:sz w:val="24"/>
                <w:szCs w:val="24"/>
                <w14:textFill>
                  <w14:solidFill>
                    <w14:schemeClr w14:val="tx1"/>
                  </w14:solidFill>
                </w14:textFill>
              </w:rPr>
              <w:t>支撑课程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0" w:type="dxa"/>
            <w:vMerge w:val="restart"/>
            <w:vAlign w:val="center"/>
          </w:tcPr>
          <w:p>
            <w:pPr>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w:t>
            </w:r>
          </w:p>
        </w:tc>
        <w:tc>
          <w:tcPr>
            <w:tcW w:w="1258" w:type="dxa"/>
            <w:vMerge w:val="restart"/>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lang w:eastAsia="zh-CN"/>
                <w14:textFill>
                  <w14:solidFill>
                    <w14:schemeClr w14:val="tx1"/>
                  </w14:solidFill>
                </w14:textFill>
              </w:rPr>
              <w:t>新能源</w:t>
            </w:r>
            <w:r>
              <w:rPr>
                <w:rFonts w:hint="eastAsia" w:ascii="楷体" w:hAnsi="楷体" w:eastAsia="楷体" w:cs="楷体"/>
                <w:color w:val="000000" w:themeColor="text1"/>
                <w:sz w:val="24"/>
                <w:szCs w:val="24"/>
                <w14:textFill>
                  <w14:solidFill>
                    <w14:schemeClr w14:val="tx1"/>
                  </w14:solidFill>
                </w14:textFill>
              </w:rPr>
              <w:t>汽车机电维修工</w:t>
            </w:r>
          </w:p>
        </w:tc>
        <w:tc>
          <w:tcPr>
            <w:tcW w:w="2478" w:type="dxa"/>
            <w:vMerge w:val="restart"/>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1.工作选择与劳动合同的签订；</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2.工作中的安全保护和环境保护；</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3.汽车及各组成系统的操作；</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4.汽车各系统的测量与检查；</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5.工作计划的制订和工作结果的检查评价；</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6.汽车各系统及企业设备的维护、检查和调整；</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7.与内部和外部客户的信息交流；</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8.零件、组件和系统的拆卸、安装和维护；</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9.故障诊断以及结果的评价；</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10.设备配置、更新和改造；</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11.根据有关标准进行汽车修竣验收；</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12.汽车维修质量管理与质量分析。</w:t>
            </w:r>
          </w:p>
        </w:tc>
        <w:tc>
          <w:tcPr>
            <w:tcW w:w="1690" w:type="dxa"/>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1.掌握安全操作规程和事故应急处理方法；</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汽车文化与常识、汽车认识；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0" w:type="dxa"/>
            <w:vMerge w:val="continue"/>
            <w:vAlign w:val="center"/>
          </w:tcPr>
          <w:p>
            <w:pPr>
              <w:jc w:val="center"/>
              <w:rPr>
                <w:rFonts w:ascii="楷体" w:hAnsi="楷体" w:eastAsia="楷体" w:cs="楷体"/>
                <w:color w:val="000000" w:themeColor="text1"/>
                <w:sz w:val="24"/>
                <w:szCs w:val="24"/>
                <w14:textFill>
                  <w14:solidFill>
                    <w14:schemeClr w14:val="tx1"/>
                  </w14:solidFill>
                </w14:textFill>
              </w:rPr>
            </w:pPr>
          </w:p>
        </w:tc>
        <w:tc>
          <w:tcPr>
            <w:tcW w:w="1258" w:type="dxa"/>
            <w:vMerge w:val="continue"/>
            <w:vAlign w:val="center"/>
          </w:tcPr>
          <w:p>
            <w:pPr>
              <w:jc w:val="left"/>
              <w:rPr>
                <w:rFonts w:ascii="楷体" w:hAnsi="楷体" w:eastAsia="楷体" w:cs="楷体"/>
                <w:color w:val="000000" w:themeColor="text1"/>
                <w:sz w:val="24"/>
                <w:szCs w:val="24"/>
                <w14:textFill>
                  <w14:solidFill>
                    <w14:schemeClr w14:val="tx1"/>
                  </w14:solidFill>
                </w14:textFill>
              </w:rPr>
            </w:pPr>
          </w:p>
        </w:tc>
        <w:tc>
          <w:tcPr>
            <w:tcW w:w="2478" w:type="dxa"/>
            <w:vMerge w:val="continue"/>
          </w:tcPr>
          <w:p>
            <w:pPr>
              <w:jc w:val="left"/>
              <w:rPr>
                <w:rFonts w:ascii="楷体" w:hAnsi="楷体" w:eastAsia="楷体" w:cs="楷体"/>
                <w:color w:val="000000" w:themeColor="text1"/>
                <w:sz w:val="24"/>
                <w:szCs w:val="24"/>
                <w14:textFill>
                  <w14:solidFill>
                    <w14:schemeClr w14:val="tx1"/>
                  </w14:solidFill>
                </w14:textFill>
              </w:rPr>
            </w:pPr>
          </w:p>
        </w:tc>
        <w:tc>
          <w:tcPr>
            <w:tcW w:w="1690" w:type="dxa"/>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2.正确选择和使用汽车维修工具、检测仪器和汽车运行材料；</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汽车机械基础（含识图）、公差与测量技术、公差与测量技术实训综合课、汽车电工电子技术、★</w:t>
            </w:r>
            <w:r>
              <w:rPr>
                <w:rFonts w:hint="eastAsia" w:ascii="楷体" w:hAnsi="楷体" w:eastAsia="楷体" w:cs="楷体"/>
                <w:color w:val="000000" w:themeColor="text1"/>
                <w:sz w:val="24"/>
                <w:szCs w:val="24"/>
                <w:lang w:eastAsia="zh-CN"/>
                <w14:textFill>
                  <w14:solidFill>
                    <w14:schemeClr w14:val="tx1"/>
                  </w14:solidFill>
                </w14:textFill>
              </w:rPr>
              <w:t>动力电池及能量管理技术</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新能源汽车电机及控制技术</w:t>
            </w:r>
            <w:r>
              <w:rPr>
                <w:rFonts w:hint="eastAsia" w:ascii="楷体" w:hAnsi="楷体" w:eastAsia="楷体" w:cs="楷体"/>
                <w:color w:val="000000" w:themeColor="text1"/>
                <w:sz w:val="24"/>
                <w:szCs w:val="24"/>
                <w14:textFill>
                  <w14:solidFill>
                    <w14:schemeClr w14:val="tx1"/>
                  </w14:solidFill>
                </w14:textFill>
              </w:rPr>
              <w:t>、电动汽车结构与原理；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0" w:type="dxa"/>
            <w:vMerge w:val="continue"/>
            <w:vAlign w:val="center"/>
          </w:tcPr>
          <w:p>
            <w:pPr>
              <w:jc w:val="center"/>
              <w:rPr>
                <w:rFonts w:ascii="楷体" w:hAnsi="楷体" w:eastAsia="楷体" w:cs="楷体"/>
                <w:color w:val="000000" w:themeColor="text1"/>
                <w:sz w:val="24"/>
                <w:szCs w:val="24"/>
                <w14:textFill>
                  <w14:solidFill>
                    <w14:schemeClr w14:val="tx1"/>
                  </w14:solidFill>
                </w14:textFill>
              </w:rPr>
            </w:pPr>
          </w:p>
        </w:tc>
        <w:tc>
          <w:tcPr>
            <w:tcW w:w="1258" w:type="dxa"/>
            <w:vMerge w:val="continue"/>
            <w:vAlign w:val="center"/>
          </w:tcPr>
          <w:p>
            <w:pPr>
              <w:jc w:val="left"/>
              <w:rPr>
                <w:rFonts w:ascii="楷体" w:hAnsi="楷体" w:eastAsia="楷体" w:cs="楷体"/>
                <w:color w:val="000000" w:themeColor="text1"/>
                <w:sz w:val="24"/>
                <w:szCs w:val="24"/>
                <w14:textFill>
                  <w14:solidFill>
                    <w14:schemeClr w14:val="tx1"/>
                  </w14:solidFill>
                </w14:textFill>
              </w:rPr>
            </w:pPr>
          </w:p>
        </w:tc>
        <w:tc>
          <w:tcPr>
            <w:tcW w:w="2478" w:type="dxa"/>
            <w:vMerge w:val="continue"/>
          </w:tcPr>
          <w:p>
            <w:pPr>
              <w:jc w:val="left"/>
              <w:rPr>
                <w:rFonts w:ascii="楷体" w:hAnsi="楷体" w:eastAsia="楷体" w:cs="楷体"/>
                <w:color w:val="000000" w:themeColor="text1"/>
                <w:sz w:val="24"/>
                <w:szCs w:val="24"/>
                <w14:textFill>
                  <w14:solidFill>
                    <w14:schemeClr w14:val="tx1"/>
                  </w14:solidFill>
                </w14:textFill>
              </w:rPr>
            </w:pPr>
          </w:p>
        </w:tc>
        <w:tc>
          <w:tcPr>
            <w:tcW w:w="1690" w:type="dxa"/>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3.汽车</w:t>
            </w:r>
            <w:r>
              <w:rPr>
                <w:rFonts w:hint="eastAsia" w:ascii="楷体" w:hAnsi="楷体" w:eastAsia="楷体" w:cs="楷体"/>
                <w:color w:val="000000" w:themeColor="text1"/>
                <w:sz w:val="24"/>
                <w:szCs w:val="24"/>
                <w:lang w:eastAsia="zh-CN"/>
                <w14:textFill>
                  <w14:solidFill>
                    <w14:schemeClr w14:val="tx1"/>
                  </w14:solidFill>
                </w14:textFill>
              </w:rPr>
              <w:t>电池</w:t>
            </w:r>
            <w:r>
              <w:rPr>
                <w:rFonts w:hint="eastAsia" w:ascii="楷体" w:hAnsi="楷体" w:eastAsia="楷体" w:cs="楷体"/>
                <w:color w:val="000000" w:themeColor="text1"/>
                <w:sz w:val="24"/>
                <w:szCs w:val="24"/>
                <w14:textFill>
                  <w14:solidFill>
                    <w14:schemeClr w14:val="tx1"/>
                  </w14:solidFill>
                </w14:textFill>
              </w:rPr>
              <w:t>及电控系统拆装、维护、故障诊断、检修能力；</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★新能源汽车电机及控制技术、★动力电池及能量管理技术、★</w:t>
            </w:r>
            <w:r>
              <w:rPr>
                <w:rFonts w:hint="eastAsia" w:ascii="楷体" w:hAnsi="楷体" w:eastAsia="楷体" w:cs="楷体"/>
                <w:color w:val="000000" w:themeColor="text1"/>
                <w:sz w:val="24"/>
                <w:szCs w:val="24"/>
                <w:lang w:eastAsia="zh-CN"/>
                <w14:textFill>
                  <w14:solidFill>
                    <w14:schemeClr w14:val="tx1"/>
                  </w14:solidFill>
                </w14:textFill>
              </w:rPr>
              <w:t>新能源汽车基础电气系统</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新能源汽车维护与保养</w:t>
            </w:r>
            <w:r>
              <w:rPr>
                <w:rFonts w:hint="eastAsia" w:ascii="楷体" w:hAnsi="楷体" w:eastAsia="楷体" w:cs="楷体"/>
                <w:color w:val="000000" w:themeColor="text1"/>
                <w:sz w:val="24"/>
                <w:szCs w:val="24"/>
                <w14:textFill>
                  <w14:solidFill>
                    <w14:schemeClr w14:val="tx1"/>
                  </w14:solidFill>
                </w14:textFill>
              </w:rPr>
              <w:t>、★节能与新能源汽车技术、★</w:t>
            </w:r>
            <w:r>
              <w:rPr>
                <w:rFonts w:hint="eastAsia" w:ascii="楷体" w:hAnsi="楷体" w:eastAsia="楷体" w:cs="楷体"/>
                <w:color w:val="000000" w:themeColor="text1"/>
                <w:sz w:val="24"/>
                <w:szCs w:val="24"/>
                <w:lang w:eastAsia="zh-CN"/>
                <w14:textFill>
                  <w14:solidFill>
                    <w14:schemeClr w14:val="tx1"/>
                  </w14:solidFill>
                </w14:textFill>
              </w:rPr>
              <w:t>新能源汽车综合故障诊断</w:t>
            </w:r>
            <w:r>
              <w:rPr>
                <w:rFonts w:hint="eastAsia" w:ascii="楷体" w:hAnsi="楷体" w:eastAsia="楷体" w:cs="楷体"/>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30" w:type="dxa"/>
            <w:vMerge w:val="continue"/>
            <w:vAlign w:val="center"/>
          </w:tcPr>
          <w:p>
            <w:pPr>
              <w:jc w:val="center"/>
              <w:rPr>
                <w:rFonts w:ascii="楷体" w:hAnsi="楷体" w:eastAsia="楷体" w:cs="楷体"/>
                <w:color w:val="000000" w:themeColor="text1"/>
                <w:sz w:val="24"/>
                <w:szCs w:val="24"/>
                <w14:textFill>
                  <w14:solidFill>
                    <w14:schemeClr w14:val="tx1"/>
                  </w14:solidFill>
                </w14:textFill>
              </w:rPr>
            </w:pPr>
          </w:p>
        </w:tc>
        <w:tc>
          <w:tcPr>
            <w:tcW w:w="1258" w:type="dxa"/>
            <w:vMerge w:val="continue"/>
            <w:vAlign w:val="center"/>
          </w:tcPr>
          <w:p>
            <w:pPr>
              <w:jc w:val="left"/>
              <w:rPr>
                <w:rFonts w:ascii="楷体" w:hAnsi="楷体" w:eastAsia="楷体" w:cs="楷体"/>
                <w:color w:val="000000" w:themeColor="text1"/>
                <w:sz w:val="24"/>
                <w:szCs w:val="24"/>
                <w14:textFill>
                  <w14:solidFill>
                    <w14:schemeClr w14:val="tx1"/>
                  </w14:solidFill>
                </w14:textFill>
              </w:rPr>
            </w:pPr>
          </w:p>
        </w:tc>
        <w:tc>
          <w:tcPr>
            <w:tcW w:w="2478" w:type="dxa"/>
            <w:vMerge w:val="continue"/>
          </w:tcPr>
          <w:p>
            <w:pPr>
              <w:jc w:val="left"/>
              <w:rPr>
                <w:rFonts w:ascii="楷体" w:hAnsi="楷体" w:eastAsia="楷体" w:cs="楷体"/>
                <w:color w:val="000000" w:themeColor="text1"/>
                <w:sz w:val="24"/>
                <w:szCs w:val="24"/>
                <w14:textFill>
                  <w14:solidFill>
                    <w14:schemeClr w14:val="tx1"/>
                  </w14:solidFill>
                </w14:textFill>
              </w:rPr>
            </w:pPr>
          </w:p>
        </w:tc>
        <w:tc>
          <w:tcPr>
            <w:tcW w:w="1690" w:type="dxa"/>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4.汽车电路和电子系统的检测与修复能力；</w:t>
            </w:r>
          </w:p>
        </w:tc>
        <w:tc>
          <w:tcPr>
            <w:tcW w:w="2835" w:type="dxa"/>
            <w:vAlign w:val="center"/>
          </w:tcPr>
          <w:p>
            <w:pPr>
              <w:jc w:val="left"/>
              <w:rPr>
                <w:rFonts w:hint="eastAsia" w:ascii="楷体" w:hAnsi="楷体" w:eastAsia="楷体" w:cs="楷体"/>
                <w:color w:val="000000" w:themeColor="text1"/>
                <w:sz w:val="24"/>
                <w:szCs w:val="24"/>
                <w:lang w:eastAsia="zh-CN"/>
                <w14:textFill>
                  <w14:solidFill>
                    <w14:schemeClr w14:val="tx1"/>
                  </w14:solidFill>
                </w14:textFill>
              </w:rPr>
            </w:pPr>
            <w:r>
              <w:rPr>
                <w:rFonts w:hint="eastAsia" w:ascii="楷体" w:hAnsi="楷体" w:eastAsia="楷体" w:cs="楷体"/>
                <w:color w:val="000000" w:themeColor="text1"/>
                <w:sz w:val="24"/>
                <w:szCs w:val="24"/>
                <w:lang w:eastAsia="zh-CN"/>
                <w14:textFill>
                  <w14:solidFill>
                    <w14:schemeClr w14:val="tx1"/>
                  </w14:solidFill>
                </w14:textFill>
              </w:rPr>
              <w:t>新能源</w:t>
            </w:r>
            <w:r>
              <w:rPr>
                <w:rFonts w:hint="eastAsia" w:ascii="楷体" w:hAnsi="楷体" w:eastAsia="楷体" w:cs="楷体"/>
                <w:color w:val="000000" w:themeColor="text1"/>
                <w:sz w:val="24"/>
                <w:szCs w:val="24"/>
                <w14:textFill>
                  <w14:solidFill>
                    <w14:schemeClr w14:val="tx1"/>
                  </w14:solidFill>
                </w14:textFill>
              </w:rPr>
              <w:t>汽车电工电子技术、★</w:t>
            </w:r>
            <w:r>
              <w:rPr>
                <w:rFonts w:hint="eastAsia" w:ascii="楷体" w:hAnsi="楷体" w:eastAsia="楷体" w:cs="楷体"/>
                <w:color w:val="000000" w:themeColor="text1"/>
                <w:sz w:val="24"/>
                <w:szCs w:val="24"/>
                <w:lang w:eastAsia="zh-CN"/>
                <w14:textFill>
                  <w14:solidFill>
                    <w14:schemeClr w14:val="tx1"/>
                  </w14:solidFill>
                </w14:textFill>
              </w:rPr>
              <w:t>新能源汽车基础电气系统</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w:t>
            </w:r>
            <w:r>
              <w:rPr>
                <w:rFonts w:hint="eastAsia" w:ascii="楷体" w:hAnsi="楷体" w:eastAsia="楷体" w:cs="楷体"/>
                <w:color w:val="000000" w:themeColor="text1"/>
                <w:sz w:val="24"/>
                <w:szCs w:val="24"/>
                <w14:textFill>
                  <w14:solidFill>
                    <w14:schemeClr w14:val="tx1"/>
                  </w14:solidFill>
                </w14:textFill>
              </w:rPr>
              <w:t>汽车电子控制技术、★汽车车身电控系统检修、★</w:t>
            </w:r>
            <w:r>
              <w:rPr>
                <w:rFonts w:hint="eastAsia" w:ascii="楷体" w:hAnsi="楷体" w:eastAsia="楷体" w:cs="楷体"/>
                <w:color w:val="000000" w:themeColor="text1"/>
                <w:sz w:val="24"/>
                <w:szCs w:val="24"/>
                <w:lang w:eastAsia="zh-CN"/>
                <w14:textFill>
                  <w14:solidFill>
                    <w14:schemeClr w14:val="tx1"/>
                  </w14:solidFill>
                </w14:textFill>
              </w:rPr>
              <w:t>新能源汽车综合故障诊断；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630" w:type="dxa"/>
            <w:vMerge w:val="continue"/>
            <w:vAlign w:val="center"/>
          </w:tcPr>
          <w:p>
            <w:pPr>
              <w:jc w:val="center"/>
              <w:rPr>
                <w:rFonts w:ascii="楷体" w:hAnsi="楷体" w:eastAsia="楷体" w:cs="楷体"/>
                <w:color w:val="000000" w:themeColor="text1"/>
                <w:sz w:val="24"/>
                <w:szCs w:val="24"/>
                <w14:textFill>
                  <w14:solidFill>
                    <w14:schemeClr w14:val="tx1"/>
                  </w14:solidFill>
                </w14:textFill>
              </w:rPr>
            </w:pPr>
          </w:p>
        </w:tc>
        <w:tc>
          <w:tcPr>
            <w:tcW w:w="1258" w:type="dxa"/>
            <w:vMerge w:val="continue"/>
            <w:vAlign w:val="center"/>
          </w:tcPr>
          <w:p>
            <w:pPr>
              <w:jc w:val="left"/>
              <w:rPr>
                <w:rFonts w:ascii="楷体" w:hAnsi="楷体" w:eastAsia="楷体" w:cs="楷体"/>
                <w:color w:val="000000" w:themeColor="text1"/>
                <w:sz w:val="24"/>
                <w:szCs w:val="24"/>
                <w14:textFill>
                  <w14:solidFill>
                    <w14:schemeClr w14:val="tx1"/>
                  </w14:solidFill>
                </w14:textFill>
              </w:rPr>
            </w:pPr>
          </w:p>
        </w:tc>
        <w:tc>
          <w:tcPr>
            <w:tcW w:w="2478" w:type="dxa"/>
            <w:vMerge w:val="continue"/>
          </w:tcPr>
          <w:p>
            <w:pPr>
              <w:jc w:val="left"/>
              <w:rPr>
                <w:rFonts w:ascii="楷体" w:hAnsi="楷体" w:eastAsia="楷体" w:cs="楷体"/>
                <w:color w:val="000000" w:themeColor="text1"/>
                <w:sz w:val="24"/>
                <w:szCs w:val="24"/>
                <w14:textFill>
                  <w14:solidFill>
                    <w14:schemeClr w14:val="tx1"/>
                  </w14:solidFill>
                </w14:textFill>
              </w:rPr>
            </w:pPr>
          </w:p>
        </w:tc>
        <w:tc>
          <w:tcPr>
            <w:tcW w:w="1690" w:type="dxa"/>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5.汽车传动、转向、行驶和制动系统的检测与修复能力。</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★新能源汽车电机及控制技术、★汽车电子控制技术。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630" w:type="dxa"/>
            <w:vAlign w:val="center"/>
          </w:tcPr>
          <w:p>
            <w:pPr>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w:t>
            </w:r>
          </w:p>
        </w:tc>
        <w:tc>
          <w:tcPr>
            <w:tcW w:w="125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汽车售后服务顾问</w:t>
            </w:r>
          </w:p>
        </w:tc>
        <w:tc>
          <w:tcPr>
            <w:tcW w:w="247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1.与客户沟通，根据客户的要求做好车辆的售后服务工作，并向客户提出合理的建议;</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2.做好维修后的信息反馈工作。并正确填写工单，解释维修工作等；</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3.掌握汽车售后服务作业流程，熟悉使用维修企业管理管理软件，及汽车进出厂质量检验能力。</w:t>
            </w:r>
          </w:p>
        </w:tc>
        <w:tc>
          <w:tcPr>
            <w:tcW w:w="1690"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能够热情主动地进行客户接待；能够检查并确定汽车维修内容；能够有效地与客户沟通；能够进行客服服务跟踪。</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动力电池及能量管理技术</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新能源汽车电机及控制技术</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w:t>
            </w:r>
            <w:r>
              <w:rPr>
                <w:rFonts w:hint="eastAsia" w:ascii="楷体" w:hAnsi="楷体" w:eastAsia="楷体" w:cs="楷体"/>
                <w:color w:val="000000" w:themeColor="text1"/>
                <w:sz w:val="24"/>
                <w:szCs w:val="24"/>
                <w14:textFill>
                  <w14:solidFill>
                    <w14:schemeClr w14:val="tx1"/>
                  </w14:solidFill>
                </w14:textFill>
              </w:rPr>
              <w:t>汽车电工电子技术、★</w:t>
            </w:r>
            <w:r>
              <w:rPr>
                <w:rFonts w:hint="eastAsia" w:ascii="楷体" w:hAnsi="楷体" w:eastAsia="楷体" w:cs="楷体"/>
                <w:color w:val="000000" w:themeColor="text1"/>
                <w:sz w:val="24"/>
                <w:szCs w:val="24"/>
                <w:lang w:eastAsia="zh-CN"/>
                <w14:textFill>
                  <w14:solidFill>
                    <w14:schemeClr w14:val="tx1"/>
                  </w14:solidFill>
                </w14:textFill>
              </w:rPr>
              <w:t>新能源</w:t>
            </w:r>
            <w:r>
              <w:rPr>
                <w:rFonts w:hint="eastAsia" w:ascii="楷体" w:hAnsi="楷体" w:eastAsia="楷体" w:cs="楷体"/>
                <w:color w:val="000000" w:themeColor="text1"/>
                <w:sz w:val="24"/>
                <w:szCs w:val="24"/>
                <w14:textFill>
                  <w14:solidFill>
                    <w14:schemeClr w14:val="tx1"/>
                  </w14:solidFill>
                </w14:textFill>
              </w:rPr>
              <w:t>汽车车身电控系统检修、★</w:t>
            </w:r>
            <w:r>
              <w:rPr>
                <w:rFonts w:hint="eastAsia" w:ascii="楷体" w:hAnsi="楷体" w:eastAsia="楷体" w:cs="楷体"/>
                <w:color w:val="000000" w:themeColor="text1"/>
                <w:sz w:val="24"/>
                <w:szCs w:val="24"/>
                <w:lang w:eastAsia="zh-CN"/>
                <w14:textFill>
                  <w14:solidFill>
                    <w14:schemeClr w14:val="tx1"/>
                  </w14:solidFill>
                </w14:textFill>
              </w:rPr>
              <w:t>新能源汽车综合故障诊断</w:t>
            </w:r>
            <w:r>
              <w:rPr>
                <w:rFonts w:hint="eastAsia" w:ascii="楷体" w:hAnsi="楷体" w:eastAsia="楷体" w:cs="楷体"/>
                <w:color w:val="000000" w:themeColor="text1"/>
                <w:sz w:val="24"/>
                <w:szCs w:val="24"/>
                <w14:textFill>
                  <w14:solidFill>
                    <w14:schemeClr w14:val="tx1"/>
                  </w14:solidFill>
                </w14:textFill>
              </w:rPr>
              <w:t>、汽车维修业务接待、汽车维修企业管理。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630" w:type="dxa"/>
            <w:vAlign w:val="center"/>
          </w:tcPr>
          <w:p>
            <w:pPr>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w:t>
            </w:r>
          </w:p>
        </w:tc>
        <w:tc>
          <w:tcPr>
            <w:tcW w:w="125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汽车销售顾问</w:t>
            </w:r>
          </w:p>
        </w:tc>
        <w:tc>
          <w:tcPr>
            <w:tcW w:w="247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1.与部门领导、业务人员及客户进行沟通，能独立开展汽车营销业务；</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2.能分析汽车营销环境并采取相应策略；</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3.熟悉汽车市场促销策略。</w:t>
            </w:r>
          </w:p>
        </w:tc>
        <w:tc>
          <w:tcPr>
            <w:tcW w:w="1690"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shd w:val="clear" w:color="auto" w:fill="FFFFFF"/>
                <w14:textFill>
                  <w14:solidFill>
                    <w14:schemeClr w14:val="tx1"/>
                  </w14:solidFill>
                </w14:textFill>
              </w:rPr>
              <w:t xml:space="preserve">能够完成客户开发、客户跟踪、销售导购、销售洽谈、销售成交等基本过程，并能进行汽车保险、上牌、装潢、交车、理赔、年检等业务的介绍、成交或代办。 </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汽车销售技巧、★新能源汽车电机及控制技术、★动力电池及能量管理技术、★</w:t>
            </w:r>
            <w:r>
              <w:rPr>
                <w:rFonts w:hint="eastAsia" w:ascii="楷体" w:hAnsi="楷体" w:eastAsia="楷体" w:cs="楷体"/>
                <w:color w:val="000000" w:themeColor="text1"/>
                <w:sz w:val="24"/>
                <w:szCs w:val="24"/>
                <w:lang w:eastAsia="zh-CN"/>
                <w14:textFill>
                  <w14:solidFill>
                    <w14:schemeClr w14:val="tx1"/>
                  </w14:solidFill>
                </w14:textFill>
              </w:rPr>
              <w:t>新能源汽车基础电气系统</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新能源汽车维护与保养</w:t>
            </w:r>
            <w:r>
              <w:rPr>
                <w:rFonts w:hint="eastAsia" w:ascii="楷体" w:hAnsi="楷体" w:eastAsia="楷体" w:cs="楷体"/>
                <w:color w:val="000000" w:themeColor="text1"/>
                <w:sz w:val="24"/>
                <w:szCs w:val="24"/>
                <w14:textFill>
                  <w14:solidFill>
                    <w14:schemeClr w14:val="tx1"/>
                  </w14:solidFill>
                </w14:textFill>
              </w:rPr>
              <w:t>、★节能与新能源汽车技术、★</w:t>
            </w:r>
            <w:r>
              <w:rPr>
                <w:rFonts w:hint="eastAsia" w:ascii="楷体" w:hAnsi="楷体" w:eastAsia="楷体" w:cs="楷体"/>
                <w:color w:val="000000" w:themeColor="text1"/>
                <w:sz w:val="24"/>
                <w:szCs w:val="24"/>
                <w:lang w:eastAsia="zh-CN"/>
                <w14:textFill>
                  <w14:solidFill>
                    <w14:schemeClr w14:val="tx1"/>
                  </w14:solidFill>
                </w14:textFill>
              </w:rPr>
              <w:t>新能源汽车综合故障诊断</w:t>
            </w:r>
            <w:r>
              <w:rPr>
                <w:rFonts w:hint="eastAsia" w:ascii="楷体" w:hAnsi="楷体" w:eastAsia="楷体" w:cs="楷体"/>
                <w:color w:val="000000" w:themeColor="text1"/>
                <w:sz w:val="24"/>
                <w:szCs w:val="24"/>
                <w14:textFill>
                  <w14:solidFill>
                    <w14:schemeClr w14:val="tx1"/>
                  </w14:solidFill>
                </w14:textFill>
              </w:rPr>
              <w:t>、汽车保险与理赔。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630" w:type="dxa"/>
            <w:vAlign w:val="center"/>
          </w:tcPr>
          <w:p>
            <w:pPr>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4</w:t>
            </w:r>
          </w:p>
        </w:tc>
        <w:tc>
          <w:tcPr>
            <w:tcW w:w="125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汽车美容装潢工</w:t>
            </w:r>
          </w:p>
        </w:tc>
        <w:tc>
          <w:tcPr>
            <w:tcW w:w="247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1.汽车清洗；</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2.汽车漆面美容；</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3.汽车外部装饰；</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4.汽车内部装饰；</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5.汽车防护改装。</w:t>
            </w:r>
          </w:p>
        </w:tc>
        <w:tc>
          <w:tcPr>
            <w:tcW w:w="1690"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能够独立制定完整的汽车美容装潢作业计划、任务；能够规范使用美容装潢设备、工具，并能进行设备仪器的维护与管理；能够严格按照操作规范进行快速、正确的美容装潢，并能保证质量。</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★汽车</w:t>
            </w:r>
            <w:r>
              <w:rPr>
                <w:rFonts w:hint="eastAsia" w:ascii="楷体" w:hAnsi="楷体" w:eastAsia="楷体" w:cs="楷体"/>
                <w:color w:val="000000" w:themeColor="text1"/>
                <w:sz w:val="24"/>
                <w:szCs w:val="24"/>
                <w:lang w:eastAsia="zh-CN"/>
                <w14:textFill>
                  <w14:solidFill>
                    <w14:schemeClr w14:val="tx1"/>
                  </w14:solidFill>
                </w14:textFill>
              </w:rPr>
              <w:t>构造</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新能源汽车电机及控制技术</w:t>
            </w:r>
            <w:r>
              <w:rPr>
                <w:rFonts w:hint="eastAsia" w:ascii="楷体" w:hAnsi="楷体" w:eastAsia="楷体" w:cs="楷体"/>
                <w:color w:val="000000" w:themeColor="text1"/>
                <w:sz w:val="24"/>
                <w:szCs w:val="24"/>
                <w14:textFill>
                  <w14:solidFill>
                    <w14:schemeClr w14:val="tx1"/>
                  </w14:solidFill>
                </w14:textFill>
              </w:rPr>
              <w:t>、电动汽车结构与原理、汽车美容与装饰。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630" w:type="dxa"/>
            <w:vAlign w:val="center"/>
          </w:tcPr>
          <w:p>
            <w:pPr>
              <w:jc w:val="center"/>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5</w:t>
            </w:r>
          </w:p>
        </w:tc>
        <w:tc>
          <w:tcPr>
            <w:tcW w:w="125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二手车鉴定与评估员</w:t>
            </w:r>
          </w:p>
        </w:tc>
        <w:tc>
          <w:tcPr>
            <w:tcW w:w="2478"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1.汽车质量鉴定；</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2.二手车鉴定与评估；</w:t>
            </w:r>
          </w:p>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3.二手车过户。</w:t>
            </w:r>
          </w:p>
          <w:p>
            <w:pPr>
              <w:jc w:val="left"/>
              <w:rPr>
                <w:rFonts w:ascii="楷体" w:hAnsi="楷体" w:eastAsia="楷体" w:cs="楷体"/>
                <w:color w:val="000000" w:themeColor="text1"/>
                <w:sz w:val="24"/>
                <w:szCs w:val="24"/>
                <w14:textFill>
                  <w14:solidFill>
                    <w14:schemeClr w14:val="tx1"/>
                  </w14:solidFill>
                </w14:textFill>
              </w:rPr>
            </w:pPr>
          </w:p>
        </w:tc>
        <w:tc>
          <w:tcPr>
            <w:tcW w:w="1690"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能够进行汽车质量鉴定与评估；进行二手车过户。</w:t>
            </w:r>
          </w:p>
        </w:tc>
        <w:tc>
          <w:tcPr>
            <w:tcW w:w="2835" w:type="dxa"/>
            <w:vAlign w:val="center"/>
          </w:tcPr>
          <w:p>
            <w:pPr>
              <w:jc w:val="left"/>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二手车鉴定与评估、★</w:t>
            </w:r>
            <w:r>
              <w:rPr>
                <w:rFonts w:hint="eastAsia" w:ascii="楷体" w:hAnsi="楷体" w:eastAsia="楷体" w:cs="楷体"/>
                <w:color w:val="000000" w:themeColor="text1"/>
                <w:sz w:val="24"/>
                <w:szCs w:val="24"/>
                <w:lang w:eastAsia="zh-CN"/>
                <w14:textFill>
                  <w14:solidFill>
                    <w14:schemeClr w14:val="tx1"/>
                  </w14:solidFill>
                </w14:textFill>
              </w:rPr>
              <w:t>新能源</w:t>
            </w:r>
            <w:r>
              <w:rPr>
                <w:rFonts w:hint="eastAsia" w:ascii="楷体" w:hAnsi="楷体" w:eastAsia="楷体" w:cs="楷体"/>
                <w:color w:val="000000" w:themeColor="text1"/>
                <w:sz w:val="24"/>
                <w:szCs w:val="24"/>
                <w14:textFill>
                  <w14:solidFill>
                    <w14:schemeClr w14:val="tx1"/>
                  </w14:solidFill>
                </w14:textFill>
              </w:rPr>
              <w:t>汽车电工电子技术、汽车机械基础（含识图）、★</w:t>
            </w:r>
            <w:r>
              <w:rPr>
                <w:rFonts w:hint="eastAsia" w:ascii="楷体" w:hAnsi="楷体" w:eastAsia="楷体" w:cs="楷体"/>
                <w:color w:val="000000" w:themeColor="text1"/>
                <w:sz w:val="24"/>
                <w:szCs w:val="24"/>
                <w:lang w:eastAsia="zh-CN"/>
                <w14:textFill>
                  <w14:solidFill>
                    <w14:schemeClr w14:val="tx1"/>
                  </w14:solidFill>
                </w14:textFill>
              </w:rPr>
              <w:t>新能源新能源汽车维护与保养</w:t>
            </w:r>
            <w:r>
              <w:rPr>
                <w:rFonts w:hint="eastAsia" w:ascii="楷体" w:hAnsi="楷体" w:eastAsia="楷体" w:cs="楷体"/>
                <w:color w:val="000000" w:themeColor="text1"/>
                <w:sz w:val="24"/>
                <w:szCs w:val="24"/>
                <w14:textFill>
                  <w14:solidFill>
                    <w14:schemeClr w14:val="tx1"/>
                  </w14:solidFill>
                </w14:textFill>
              </w:rPr>
              <w:t>、汽车保险与理赔、、★</w:t>
            </w:r>
            <w:r>
              <w:rPr>
                <w:rFonts w:hint="eastAsia" w:ascii="楷体" w:hAnsi="楷体" w:eastAsia="楷体" w:cs="楷体"/>
                <w:color w:val="000000" w:themeColor="text1"/>
                <w:sz w:val="24"/>
                <w:szCs w:val="24"/>
                <w:lang w:eastAsia="zh-CN"/>
                <w14:textFill>
                  <w14:solidFill>
                    <w14:schemeClr w14:val="tx1"/>
                  </w14:solidFill>
                </w14:textFill>
              </w:rPr>
              <w:t>新能源汽车电机及控制技术</w:t>
            </w: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color w:val="000000" w:themeColor="text1"/>
                <w:sz w:val="24"/>
                <w:szCs w:val="24"/>
                <w:lang w:eastAsia="zh-CN"/>
                <w14:textFill>
                  <w14:solidFill>
                    <w14:schemeClr w14:val="tx1"/>
                  </w14:solidFill>
                </w14:textFill>
              </w:rPr>
              <w:t>新能源汽车基础电气系统</w:t>
            </w:r>
            <w:r>
              <w:rPr>
                <w:rFonts w:hint="eastAsia" w:ascii="楷体" w:hAnsi="楷体" w:eastAsia="楷体" w:cs="楷体"/>
                <w:color w:val="000000" w:themeColor="text1"/>
                <w:sz w:val="24"/>
                <w:szCs w:val="24"/>
                <w14:textFill>
                  <w14:solidFill>
                    <w14:schemeClr w14:val="tx1"/>
                  </w14:solidFill>
                </w14:textFill>
              </w:rPr>
              <w:t>、★汽车车身电控系统检修、★</w:t>
            </w:r>
            <w:r>
              <w:rPr>
                <w:rFonts w:hint="eastAsia" w:ascii="楷体" w:hAnsi="楷体" w:eastAsia="楷体" w:cs="楷体"/>
                <w:color w:val="000000" w:themeColor="text1"/>
                <w:sz w:val="24"/>
                <w:szCs w:val="24"/>
                <w:lang w:eastAsia="zh-CN"/>
                <w14:textFill>
                  <w14:solidFill>
                    <w14:schemeClr w14:val="tx1"/>
                  </w14:solidFill>
                </w14:textFill>
              </w:rPr>
              <w:t>新能源汽车综合故障诊断</w:t>
            </w:r>
            <w:r>
              <w:rPr>
                <w:rFonts w:hint="eastAsia" w:ascii="楷体" w:hAnsi="楷体" w:eastAsia="楷体" w:cs="楷体"/>
                <w:color w:val="000000" w:themeColor="text1"/>
                <w:sz w:val="24"/>
                <w:szCs w:val="24"/>
                <w14:textFill>
                  <w14:solidFill>
                    <w14:schemeClr w14:val="tx1"/>
                  </w14:solidFill>
                </w14:textFill>
              </w:rPr>
              <w:t>、汽车维修业务接待。</w:t>
            </w:r>
          </w:p>
        </w:tc>
      </w:tr>
    </w:tbl>
    <w:p>
      <w:pPr>
        <w:pStyle w:val="2"/>
        <w:ind w:firstLine="480" w:firstLineChars="200"/>
        <w:rPr>
          <w:rStyle w:val="8"/>
          <w:rFonts w:hint="eastAsia" w:ascii="黑体" w:hAnsi="黑体" w:eastAsia="黑体" w:cstheme="minorBidi"/>
          <w:b w:val="0"/>
          <w:bCs w:val="0"/>
          <w:color w:val="auto"/>
          <w:sz w:val="24"/>
          <w:szCs w:val="24"/>
          <w:lang w:val="en-US" w:eastAsia="zh-CN" w:bidi="ar-SA"/>
        </w:rPr>
      </w:pPr>
    </w:p>
    <w:p>
      <w:pPr>
        <w:spacing w:line="360" w:lineRule="auto"/>
        <w:outlineLvl w:val="0"/>
        <w:rPr>
          <w:rFonts w:hint="eastAsia" w:ascii="宋体" w:hAnsi="宋体" w:cs="宋体"/>
          <w:b/>
          <w:bCs/>
          <w:sz w:val="32"/>
          <w:szCs w:val="32"/>
        </w:rPr>
      </w:pPr>
      <w:r>
        <w:rPr>
          <w:rStyle w:val="8"/>
          <w:rFonts w:hint="eastAsia" w:ascii="黑体" w:hAnsi="黑体" w:eastAsia="黑体" w:cstheme="minorBidi"/>
          <w:b w:val="0"/>
          <w:bCs w:val="0"/>
          <w:color w:val="auto"/>
          <w:sz w:val="24"/>
          <w:szCs w:val="24"/>
          <w:lang w:val="en-US" w:eastAsia="zh-CN" w:bidi="ar-SA"/>
        </w:rPr>
        <w:t>七、课程设置及要求</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0" w:firstLineChars="200"/>
        <w:jc w:val="left"/>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本专业课程设置分为公共基础课、专业基础课和专业核心课。</w:t>
      </w:r>
    </w:p>
    <w:p>
      <w:pPr>
        <w:spacing w:line="360" w:lineRule="auto"/>
        <w:rPr>
          <w:rFonts w:ascii="宋体" w:hAnsi="宋体" w:cs="宋体"/>
          <w:sz w:val="24"/>
          <w:szCs w:val="24"/>
        </w:rPr>
      </w:pPr>
      <w:r>
        <w:rPr>
          <w:rFonts w:hint="eastAsia" w:ascii="宋体" w:hAnsi="宋体" w:cs="宋体"/>
          <w:b/>
          <w:bCs/>
          <w:sz w:val="24"/>
          <w:szCs w:val="24"/>
        </w:rPr>
        <w:t>（一）公共基础课程</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0" w:firstLineChars="200"/>
        <w:jc w:val="left"/>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zh-CN"/>
        </w:rPr>
        <w:t>公共基础课包括德育、语文、数学、英语、信息技术、体育、音乐素质、入学教育、新编军事理论与技能训练等课程。</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1.德育</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的教学，帮助和指导中职生学习马克思主义的立场、观点和方法，解决有关人生、理想、道德、法律等方面的理论问题和实际问题，增强识别和抵制错误思想、行为侵蚀的能力，确立远大的生活目标，培养高尚的思想道德情操, 增强社会主义法制观念和法律意识，成为合格的社会主义事业的建设者和接班人，以适应依法治国方略的要求。</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根据学生学情设计，共计分为大学篇、理想篇、爱国篇、人生篇、道德篇、爱情篇、法治篇。</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注重理论性和实践性相结合，在教法上表现为课堂学习与课后实践相结合，通过采用案例教学，运用教学工具及现代媒体演示法，让学生全程参与课堂，充分发挥教师的主导作用与学生的主体性。利用组织社会实践活动，开展第二课堂，将理论传授环节与实践环节结合起来，拓展学生学习途径。</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2.语文</w:t>
      </w:r>
    </w:p>
    <w:p>
      <w:pPr>
        <w:bidi w:val="0"/>
        <w:rPr>
          <w:rFonts w:hint="eastAsia"/>
          <w:lang w:val="en-US" w:eastAsia="zh-CN"/>
        </w:rPr>
      </w:pPr>
      <w:r>
        <w:rPr>
          <w:rFonts w:hint="eastAsia"/>
          <w:lang w:val="en-US" w:eastAsia="zh-CN"/>
        </w:rPr>
        <w:t>（1）课程目标：语文是计算机应用专业必修的一门文化基础课程。注重应用文写作能力的训练，为计算机项目的策划与实施提供基本语言的支持，加强语文实践，为综合职业能力的形成，以及继续学习奠定基础。同时，引导学生重视语言的积累和感悟，接受优秀文化的熏陶，提高思想品德修养和审美情趣，形成良好的个性、健全的人格，促进职业生涯的发展。</w:t>
      </w:r>
    </w:p>
    <w:p>
      <w:pPr>
        <w:bidi w:val="0"/>
        <w:rPr>
          <w:rFonts w:hint="eastAsia"/>
          <w:lang w:val="en-US" w:eastAsia="zh-CN"/>
        </w:rPr>
      </w:pPr>
      <w:r>
        <w:rPr>
          <w:rFonts w:hint="eastAsia"/>
          <w:lang w:val="en-US" w:eastAsia="zh-CN"/>
        </w:rPr>
        <w:t>（2）内容简介：指导学生正确理解与运用语言文字，对学生进行普通话训练、现代文阅读与欣赏训练、文言文阅读与欣赏训练、实用文体写作和口语交际能力训练、信息搜集整理与运用能力训练。</w:t>
      </w:r>
    </w:p>
    <w:p>
      <w:pPr>
        <w:bidi w:val="0"/>
        <w:rPr>
          <w:rFonts w:hint="eastAsia"/>
          <w:lang w:val="en-US" w:eastAsia="zh-CN"/>
        </w:rPr>
      </w:pPr>
      <w:r>
        <w:rPr>
          <w:rFonts w:hint="eastAsia"/>
          <w:lang w:val="en-US" w:eastAsia="zh-CN"/>
        </w:rPr>
        <w:t>（3）教学要求: 在九年义务教育的基础上，培养学生热爱祖国语言文字的思想感情，使学生进一步提高正确理解与运用祖国语言文字的能力，提高科学文化素养，以适应就业和创业的需要。指导学生学习必需的语文基础知识，掌握日常生活和职业岗位需要的现代文阅读能力、写作能力、口语交际能力，具有初步的文学作品欣赏能力和浅易文言文阅读能力。指导学生掌握基本的语文学习方法，养成自学和运用语文的良好习惯。引导学生重视语言的积累和感悟，接受优秀文化的熏陶，提高思想品德修养和审美情趣，形成良好的个性、健全的人格，促进职业生涯的发展。</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3.数学</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使学生能够获得相关专业课及数学须使用，适应未来工作及进一步发展所必需的重要的数学知识，以及基本的数学思想方法和必要的应用技能；使学生学会用数学的思维方式去观察、分析现实社会，去解决学习、生活、工作中遇到的实际问题，从而进一步增进对数学的理解和兴趣；使学生具有一定的创新精神和提出问题分析问题解决问题的能力，从而促进生活、事业的全面充分的发展；使学生既具有独立思考又具有团体协作精神，在科学工作事业中实事求是、坚持真理，勇于攻克难题；使学生能敏感地把握现实社会经济的脉搏，适应社会经济的变革发展，做时代的主人。</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本课程主要讲授数列、几何、立体几何、方程等。</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的教学要求遵循“以应用为目的，以必需，够用为度”的原则，注重理论联系实际，强调对学生基本运算能力和分析问题、解决问题能力的培养，以努力提高学生的数学修养和素质。必须以“必需、够用”为原则，服务于不同专业的实际需要；必须以突出数学文化的育人功能为主线，服务于素质教育；必须以培养学生具有应用数学方法解决实际问题并进行创新的能力为重点，服务于能力培养。</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4.英语</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的教学，帮助学生打好语言基础，注重培养学生在职场环境下运用英语的基本能力，特别是听说能力；提高学生的综合文化素养和跨文化交际意识，培养学生的学习兴趣和自主学习能力，使学生掌握有效的学习方法和学习策略，为提升学生的就业竞争力及未来的可持续发展打下必要的基础。</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本课程共分为六个模块：lead-in；listening and speaking；reading； grammar； watching and performing； applied writing.</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不仅要帮助学生打好语言基础，更要注重培养学生实际应用语言的技能，特别是用英语处理与未来职业相关的业务能力。鉴于区域性经济对于人才的需求各异、不同专业的就业去向对英语能力的要求差异较大，以及学生未来就业岗位对英语口、笔头沟通能力的需求不同，各专业可根据不同专业的特点，以学生的职业需求和发展为依据，制定不同的教学要求，为学生提供多种学习选择，充分体现分类指导、因材施教的原则。</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5.计算机基础</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的教学，使学生具备必须的信息意识和素养，了解计算机和网络的基本常识，具备计算机和网络技术的基本应用技能，具有文字处理、数据处理能力，信息获取、整合、加工能力等较全面的信息处理能力，为今后的职业工作、生活和可持续发展奠定信息技术应用基础。</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本课程主要讲授计算机的基础知识、Windows操作系统及应用、文字处理软件软件Word、电子表格软件Excel、演示文稿PowerPoint、网页制作基础、网络与多媒体技术基础、Internet基础等内容。</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 xml:space="preserve"> 本课程可组织学生讨论、问题教学、实践指导等方法，通过实力操作，培养学生运用相应软件的使用。在教学过程中，注意训练学生的操作动手能力，引导学生理论联系实际，应用理论知识解决实际操作问题，激发学生的学习热情，提高学生的操作动手能力。</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6.音乐</w:t>
      </w:r>
    </w:p>
    <w:p>
      <w:pPr>
        <w:bidi w:val="0"/>
        <w:rPr>
          <w:rFonts w:hint="eastAsia"/>
          <w:lang w:val="en-US" w:eastAsia="zh-CN"/>
        </w:rPr>
      </w:pPr>
      <w:r>
        <w:rPr>
          <w:rFonts w:hint="eastAsia"/>
          <w:lang w:val="en-US" w:eastAsia="zh-CN"/>
        </w:rPr>
        <w:t>（1）课程目标：通过本课程的学习，使学生较系统地了解音乐涵盖的范畴、音乐的分类、指导学生进行音乐欣赏。通过鉴赏音乐作品、学习音乐理论、参加音乐活动等教学实践，使同学们树立正确的审美观念，培养高雅的审美品位，提高人文素养；了解、吸纳中外优秀艺术成果，理解并尊重多元文化；发展形象思维，培养创新精神和实践能力，提高感受美、表现美、鉴赏美、创造美的能力，促进德智体美全面和谐发展。</w:t>
      </w:r>
    </w:p>
    <w:p>
      <w:pPr>
        <w:bidi w:val="0"/>
        <w:rPr>
          <w:rFonts w:hint="eastAsia"/>
          <w:lang w:val="en-US" w:eastAsia="zh-CN"/>
        </w:rPr>
      </w:pPr>
      <w:r>
        <w:rPr>
          <w:rFonts w:hint="eastAsia"/>
          <w:lang w:val="en-US" w:eastAsia="zh-CN"/>
        </w:rPr>
        <w:t>（2）内容简介：本课程的教学内容是使学生在理解和掌握美术基础知识和基本技能的前提下，提高自身的整体素质、审美能力、造型能力和动手能力。</w:t>
      </w:r>
    </w:p>
    <w:p>
      <w:pPr>
        <w:bidi w:val="0"/>
        <w:rPr>
          <w:rFonts w:hint="eastAsia"/>
          <w:lang w:val="en-US" w:eastAsia="zh-CN"/>
        </w:rPr>
      </w:pPr>
      <w:r>
        <w:rPr>
          <w:rFonts w:hint="eastAsia"/>
          <w:lang w:val="en-US" w:eastAsia="zh-CN"/>
        </w:rPr>
        <w:t>（3）教学要求：本课程是一门公共基础课程，通过本课程的学习，使学生掌握音乐知识，提高音乐修养。</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7新编军事理论与技能训练</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通过本课程的教学，让学生了解掌握军事基础知识和基本军事技能，增强国防观念、国家安全意识和忧患危机意识，弘扬爱国主义精神、传承红色基因、提高学生综合国防素质。</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军事课由《军事理论》《军事技能》两部分组成。《军事理论》包括中国国防、国家安全、军事思想、现代战争、信息化装备；《军事技能》包括共同条令教育与训练、射击与战术训练、防卫技能与战时防护训练、战备基础与应用训练等内容。</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本课程坚持课堂教学和教师面授相结合，重视信息技术和慕课、微课、视频公开课等在线课程在教学中的应用和管理，坚持按纲施训、依法治训原则。</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（二）专业基础课程</w:t>
      </w:r>
    </w:p>
    <w:p>
      <w:pPr>
        <w:bidi w:val="0"/>
        <w:rPr>
          <w:rFonts w:hint="eastAsia"/>
          <w:lang w:val="en-US" w:eastAsia="zh-CN"/>
        </w:rPr>
      </w:pPr>
      <w:r>
        <w:rPr>
          <w:rFonts w:hint="eastAsia"/>
          <w:lang w:val="en-US" w:eastAsia="zh-CN"/>
        </w:rPr>
        <w:t>专业基础课程主要包括《汽车概论》、《新能源汽车电工电子技术》、《汽车维护保养》、《汽车美容与装饰》等。</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1.新能源汽车概论</w:t>
      </w:r>
    </w:p>
    <w:p>
      <w:pPr>
        <w:bidi w:val="0"/>
        <w:rPr>
          <w:rFonts w:hint="eastAsia"/>
          <w:lang w:val="en-US" w:eastAsia="zh-CN"/>
        </w:rPr>
      </w:pPr>
      <w:r>
        <w:rPr>
          <w:rFonts w:hint="eastAsia"/>
          <w:lang w:val="en-US" w:eastAsia="zh-CN"/>
        </w:rPr>
        <w:t>（1）课程目标：使学生掌握新能源汽车的种类结构等；掌握新能源汽车动力电池、电机、空调系统等检查与维护的方法。能够对新能源汽车整车进行维护保养和检测。将课程思政融入教学，弘扬社会主义核心价值观，培养学生精益求精、一丝不苟的职业素养和工匠精神。</w:t>
      </w:r>
    </w:p>
    <w:p>
      <w:pPr>
        <w:bidi w:val="0"/>
        <w:rPr>
          <w:rFonts w:hint="eastAsia"/>
          <w:lang w:val="en-US" w:eastAsia="zh-CN"/>
        </w:rPr>
      </w:pPr>
      <w:r>
        <w:rPr>
          <w:rFonts w:hint="eastAsia"/>
          <w:lang w:val="en-US" w:eastAsia="zh-CN"/>
        </w:rPr>
        <w:t>（2）课程内容：主要内容包括新能源汽车结构；新能源汽车正确使用；新能源汽车维护保养；新能源汽车的维护保养规范；新能源汽车电池、电机等的维护保养案例等。</w:t>
      </w:r>
    </w:p>
    <w:p>
      <w:pPr>
        <w:bidi w:val="0"/>
        <w:rPr>
          <w:rFonts w:hint="eastAsia"/>
          <w:lang w:val="en-US" w:eastAsia="zh-CN"/>
        </w:rPr>
      </w:pPr>
      <w:r>
        <w:rPr>
          <w:rFonts w:hint="eastAsia"/>
          <w:lang w:val="en-US" w:eastAsia="zh-CN"/>
        </w:rPr>
        <w:t>（3）教学要求：实训场所需配备新能源汽车及教学一体机等资源，采用教授法、情境教学法、任务驱动法等，使学生掌握新能源汽车维护、保养、检测的知识。</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2.新能源汽车电工电子技术</w:t>
      </w:r>
    </w:p>
    <w:p>
      <w:pPr>
        <w:bidi w:val="0"/>
        <w:rPr>
          <w:rFonts w:hint="eastAsia"/>
          <w:lang w:val="en-US" w:eastAsia="zh-CN"/>
        </w:rPr>
      </w:pPr>
      <w:r>
        <w:rPr>
          <w:rFonts w:hint="eastAsia"/>
          <w:lang w:val="en-US" w:eastAsia="zh-CN"/>
        </w:rPr>
        <w:t>（1）课程目标：使学生掌握电工电子基础理论知识，具备电路的基本运算能力、电路故障的基本分析能力、电力电子器件的基本运用能力以及汽车实际电路问题的解决能力。将课程思政融入教学，弘扬社会主义核心价值观，培养学生创新精神、科学精神和实践能力。</w:t>
      </w:r>
    </w:p>
    <w:p>
      <w:pPr>
        <w:bidi w:val="0"/>
        <w:rPr>
          <w:rFonts w:hint="eastAsia"/>
          <w:lang w:val="en-US" w:eastAsia="zh-CN"/>
        </w:rPr>
      </w:pPr>
      <w:r>
        <w:rPr>
          <w:rFonts w:hint="eastAsia"/>
          <w:lang w:val="en-US" w:eastAsia="zh-CN"/>
        </w:rPr>
        <w:t>（2）课程内容：主要内容包括电路的基本概念；电路基本元器件识别、欧姆定律；直流电路的分析与计算；基尔霍夫电流定律、基尔霍夫电压定律认知；交流电的基本概念；变压器的认知；半导体器件及其特性；数字逻辑电路等。</w:t>
      </w:r>
    </w:p>
    <w:p>
      <w:pPr>
        <w:bidi w:val="0"/>
        <w:rPr>
          <w:rFonts w:hint="eastAsia"/>
          <w:lang w:val="en-US" w:eastAsia="zh-CN"/>
        </w:rPr>
      </w:pPr>
      <w:r>
        <w:rPr>
          <w:rFonts w:hint="eastAsia"/>
          <w:lang w:val="en-US" w:eastAsia="zh-CN"/>
        </w:rPr>
        <w:t>（3）教学要求：实验课程在电信实训楼进行，考虑到用电安全事宜，教学中以“视频+现场演示+操作训练”形式进行，培养学生用电安全意识。</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3.汽车文化与概论</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通过本课程的学习，能拓展学生的知识面,培养学生对汽车的兴趣,使之更全面地了解汽车、热爱汽车，提高学生的专业素质和专业基本技能。</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本书注重汽车文化与汽车专业课程的链接,讲述汽车发展史、汽车品牌、世界著名汽车城及车展、汽车名人、汽车的认识与使用、汽车的设计与制造、汽车后市场、赛车运动、新能源汽车、未来汽车。</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在教学中，要求采用“理实一体化”教学，教学方法主要采用项目教学法、任务驱动法等。教学应在实训室中进行，在教学过程中，要充分体现以学生为主体，“做中教、做中学”的现代职业教育理念，在培养学生职业能力的同时，传授相关的基本知识，知识以“够用、实用”为原则。设置真实的工作情境，激发学生的学习兴趣，实现课程与岗位的对接，使学生明确将来的职业方向。在教学过程中，注重学生职业道德及良好素质的养成教育，养成自觉遵守各项规章制度的良好习惯。应时刻注意“因材施教”，尊重学生的个体差异，让不同层次的学生都能有所进步，都能体验到成功的乐趣，从而激发学习兴趣，并树立学生的自信心。教学过程中借助现代化教学手段，开拓学生视野，多多见识一些企业的新知识、新技术、新工艺等。</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4.汽车维护与保养</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汽年维护与保养是汽车检测与修技术专业中的一门核心课程,主要针对无基础的初学者。通过汽车护与保养课程的学习,学生应熟车间的操作流程,掌握车辆修的入门操作。本书主要通过对汽车护与保养相关知识的介绍,使学生了解汽车修的操作规范,掌握车辆护与保养的内容、流程并熟器各种工具的使用、同时加深学生对全车各个部件的认识。</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书按照汽车修企业的实际工作需要编写面成。首先,全书系统地述了汽车4店所有售后服务业务中和汽车组护与保养相关的基础知识,详细介绍了各维护与保养作业的具体現目、内容、操作步骤、注意事项等。其次,全书突出对学生实能力的培养,通过学习,学生可掌握汽车基本的维护与保养技术,能够独立完成基本的汽车维护与保养项目操作。最后,全书的内容</w:t>
      </w:r>
    </w:p>
    <w:p>
      <w:pPr>
        <w:bidi w:val="0"/>
        <w:rPr>
          <w:rFonts w:hint="eastAsia"/>
          <w:lang w:val="en-US" w:eastAsia="zh-CN"/>
        </w:rPr>
      </w:pPr>
      <w:r>
        <w:rPr>
          <w:rFonts w:hint="eastAsia"/>
          <w:lang w:val="en-US" w:eastAsia="zh-CN"/>
        </w:rPr>
        <w:t>编排遵循维修人员的认知规律,内容翔实、系统、全面、实用,讲解透彻且图文并茂。</w:t>
      </w:r>
    </w:p>
    <w:p>
      <w:pPr>
        <w:bidi w:val="0"/>
        <w:rPr>
          <w:rFonts w:hint="eastAsia"/>
          <w:lang w:val="en-US" w:eastAsia="zh-CN"/>
        </w:rPr>
      </w:pPr>
      <w:r>
        <w:rPr>
          <w:rFonts w:hint="eastAsia"/>
          <w:lang w:val="en-US" w:eastAsia="zh-CN"/>
        </w:rPr>
        <w:t>本书共分五个模块,主要内容包括汽车维护与保养概述、汽车维护与保养基础知识、汽车发动机系统的维护与保养、汽车底盘系统的维护与保养、汽车电气系统的维护与保养。</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在教学中，要求采用“理实一体化”教学，教学方法主要采用项目教学法、任务驱动法等。教学应在实训室中进行，在教学过程中，要充分体现以学生为主体，“做中教、做中学”的现代职业教育理念，在培养学生职业能力的同时，传授相关的基本知识，知识以“够用、实用”为原则。设置真实的工作情境，激发学生的学习兴趣，实现课程与岗位的对接，使学生明确将来的职业方向。在教学过程中，注重学生职业道德及良好素质的养成教育，养成自觉遵守各项规章制度的良好习惯。应时刻注意“因材施教”，尊重学生的个体差异，让不同层次的学生都能有所进步，都能体验到成功的乐趣，从而激发学习兴趣，并树立学生的自信心。教学过程中借助现代化教学手段，开拓学生视野，多多见识一些企业的新知识、新技术、新工艺等。</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5.汽车装饰与改装</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的学习，使学生对车辆金属表面处理工艺、漆面的养护及修复、太阳膜的选用及安装；防盗器、音响的选用及改装等有一个基本的了解，培养学生应用车身结构及美容与装饰知识就基本能力，提高学生的专业素质和专业基本技能，为学生在汽车销售领域中，拓展新的思路打下基础。</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课程内容主要包括汽车汽美容、汽车清洗、打蜡及漆面处理；汽车内外装饰、太阳膜、汽车音响、内装饰；汽车发动机改装、底盘改装等。</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在教学中，要求采用“理实一体化”教学，教学方法主要采用项目教学法、任务驱动法等。教学应在实训室中进行，在教学过程中，要充分体现以学生为主体，“做中教、做中学”的现代职业教育理念，在培养学生职业能力的同时，传授相关的基本知识，知识以“够用、实用”为原则。设置真实的工作情境，激发学生的学习兴趣，实现课程与岗位的对接，使学生明确将来的职业方向。在教学过程中，注重学生职业道德及良好素质的养成教育，养成自觉遵守各项规章制度的良好习惯。应时刻注意“因材施教”，尊重学生的个体差异，让不同层次的学生都能有所进步，都能体验到成功的乐趣，从而激发学习兴趣，并树立学生的自信心。教学过程中借助现代化教学手段，开拓学生视野，多多见识一些企业的新知识、新技术、新工艺等。</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6.汽车机械基础</w:t>
      </w:r>
    </w:p>
    <w:p>
      <w:pPr>
        <w:bidi w:val="0"/>
        <w:rPr>
          <w:rFonts w:hint="eastAsia"/>
          <w:lang w:val="en-US" w:eastAsia="zh-CN"/>
        </w:rPr>
      </w:pPr>
      <w:r>
        <w:rPr>
          <w:rFonts w:hint="eastAsia"/>
          <w:lang w:val="en-US" w:eastAsia="zh-CN"/>
        </w:rPr>
        <w:t>（1）课程目标：使学生掌握投影制图的理论、零件图的表达方法，能够熟练应用绘图软件绘制简单图样；能够识读和绘制典型机械零件图和装配图，具备一定的实际应用能力；能够按照国家制图标准进行绘图。将课程思政融入教学，弘扬社会主义核心价值观，培养学生精益求精、一丝不苟的职业素养和工匠精神。</w:t>
      </w:r>
    </w:p>
    <w:p>
      <w:pPr>
        <w:bidi w:val="0"/>
        <w:rPr>
          <w:rFonts w:hint="eastAsia"/>
          <w:lang w:val="en-US" w:eastAsia="zh-CN"/>
        </w:rPr>
      </w:pPr>
      <w:r>
        <w:rPr>
          <w:rFonts w:hint="eastAsia"/>
          <w:lang w:val="en-US" w:eastAsia="zh-CN"/>
        </w:rPr>
        <w:t>（2）课程内容：主要内容包括CAD技术在汽车行业中的应用；CAD建模技术基础；二维设计基础；工程图的设计；汽车零部件CAD设计等。</w:t>
      </w:r>
    </w:p>
    <w:p>
      <w:pPr>
        <w:bidi w:val="0"/>
        <w:rPr>
          <w:rFonts w:hint="eastAsia"/>
          <w:lang w:val="en-US" w:eastAsia="zh-CN"/>
        </w:rPr>
      </w:pPr>
      <w:r>
        <w:rPr>
          <w:rFonts w:hint="eastAsia"/>
          <w:lang w:val="en-US" w:eastAsia="zh-CN"/>
        </w:rPr>
        <w:t>（3）教学要求：教学实验场所是实训中心机房，教学过程需要教学模型生产图样、多媒体教学资源AUTO CAD软件等，运用分组讨论法、头脑风暴法等教学方法实施教学，考核形式为过程性考核（60%）+终结性考核（40%）。</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7.新能源汽车电工电子技术基础</w:t>
      </w:r>
    </w:p>
    <w:p>
      <w:pPr>
        <w:bidi w:val="0"/>
        <w:rPr>
          <w:rFonts w:hint="eastAsia"/>
          <w:lang w:val="en-US" w:eastAsia="zh-CN"/>
        </w:rPr>
      </w:pPr>
      <w:r>
        <w:rPr>
          <w:rFonts w:hint="eastAsia"/>
          <w:lang w:val="en-US" w:eastAsia="zh-CN"/>
        </w:rPr>
        <w:t>（1）课程目标：使学生掌握电工电子基础理论知识，具备电路的基本运算能力、电路故障的基本分析能力、电力电子器件的基本运用能力以及汽车实际电路问题的解决能力。将课程思政融入教学，弘扬社会主义核心价值观，培养学生创新精神、科学精神和实践能力。</w:t>
      </w:r>
    </w:p>
    <w:p>
      <w:pPr>
        <w:bidi w:val="0"/>
        <w:rPr>
          <w:rFonts w:hint="eastAsia"/>
          <w:lang w:val="en-US" w:eastAsia="zh-CN"/>
        </w:rPr>
      </w:pPr>
      <w:r>
        <w:rPr>
          <w:rFonts w:hint="eastAsia"/>
          <w:lang w:val="en-US" w:eastAsia="zh-CN"/>
        </w:rPr>
        <w:t>（2）课程内容：主要内容包括电路的基本概念；电路基本元器件识别、欧姆定律；直流电路的分析与计算；基尔霍夫电流定律、基尔霍夫电压定律认知；交流电的基本概念；变压器的认知；半导体器件及其特性；数字逻辑电路等。</w:t>
      </w:r>
    </w:p>
    <w:p>
      <w:pPr>
        <w:bidi w:val="0"/>
        <w:rPr>
          <w:rFonts w:hint="eastAsia"/>
          <w:lang w:val="en-US" w:eastAsia="zh-CN"/>
        </w:rPr>
      </w:pPr>
      <w:r>
        <w:rPr>
          <w:rFonts w:hint="eastAsia"/>
          <w:lang w:val="en-US" w:eastAsia="zh-CN"/>
        </w:rPr>
        <w:t>（3）教学要求：实验课程在电信实训楼进行，考虑到用电安全事宜，教学中以“视频+现场演示+操作训练”形式进行，培养学生用电安全意识。考核形式为过程性考核（60%）+终结性考核（40%）。</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8.单片机原理</w:t>
      </w:r>
    </w:p>
    <w:p>
      <w:pPr>
        <w:bidi w:val="0"/>
        <w:rPr>
          <w:rFonts w:hint="eastAsia"/>
          <w:lang w:val="en-US" w:eastAsia="zh-CN"/>
        </w:rPr>
      </w:pPr>
      <w:r>
        <w:rPr>
          <w:rFonts w:hint="eastAsia"/>
          <w:lang w:val="en-US" w:eastAsia="zh-CN"/>
        </w:rPr>
        <w:t>（1）课程目标：在理解51系列单片机产品内部主要结构的基础上，能够熟练运用单片机开发工具keil与proteus进行单片机产品开发。将课程思政融入教学，弘扬社会主义核心价值观，培养学生创新精神、科学精神和实践能力。</w:t>
      </w:r>
    </w:p>
    <w:p>
      <w:pPr>
        <w:bidi w:val="0"/>
        <w:rPr>
          <w:rFonts w:hint="eastAsia"/>
          <w:lang w:val="en-US" w:eastAsia="zh-CN"/>
        </w:rPr>
      </w:pPr>
      <w:r>
        <w:rPr>
          <w:rFonts w:hint="eastAsia"/>
          <w:lang w:val="en-US" w:eastAsia="zh-CN"/>
        </w:rPr>
        <w:t>（2）课程内容：主要内容包括单片机概述；单片机内部硬件结构；编程基础；中断系统；I/0口应用；定时器/计数器技术；串行口技术等。</w:t>
      </w:r>
    </w:p>
    <w:p>
      <w:pPr>
        <w:bidi w:val="0"/>
        <w:rPr>
          <w:rFonts w:hint="eastAsia"/>
          <w:lang w:val="en-US" w:eastAsia="zh-CN"/>
        </w:rPr>
      </w:pPr>
      <w:r>
        <w:rPr>
          <w:rFonts w:hint="eastAsia"/>
          <w:lang w:val="en-US" w:eastAsia="zh-CN"/>
        </w:rPr>
        <w:t>（3）教学要求：教学做一体化课程，在单片机实验室进行教学，需配备试验箱、已安装keil与proteus的电脑等资源。采用项目教学法，以演示+练习为主。考核形式为过程性考核（60%）+终结性考核（40%）。</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9.互换性与测量技术</w:t>
      </w:r>
    </w:p>
    <w:p>
      <w:pPr>
        <w:bidi w:val="0"/>
        <w:rPr>
          <w:rFonts w:hint="eastAsia"/>
          <w:lang w:val="en-US" w:eastAsia="zh-CN"/>
        </w:rPr>
      </w:pPr>
      <w:r>
        <w:rPr>
          <w:rFonts w:hint="eastAsia"/>
          <w:lang w:val="en-US" w:eastAsia="zh-CN"/>
        </w:rPr>
        <w:t>（1）课程目标</w:t>
      </w:r>
    </w:p>
    <w:p>
      <w:pPr>
        <w:bidi w:val="0"/>
        <w:rPr>
          <w:rFonts w:hint="default"/>
          <w:lang w:val="en-US" w:eastAsia="zh-CN"/>
        </w:rPr>
      </w:pPr>
      <w:r>
        <w:rPr>
          <w:rFonts w:hint="eastAsia"/>
          <w:lang w:val="en-US" w:eastAsia="zh-CN"/>
        </w:rPr>
        <w:t xml:space="preserve"> 通过本课程的学习，使学生获得机械零件几何精度和相互配合的基础理论,掌握几何参数测量的基本技能，为使学生掌握互换性的基本概念和有关公差配合的术语和定义。为后期的学习打下一定的基础。</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系统掌握使学生家互换性的基本概念和有关公差配合的术语和定义，使学生熟悉有关公差配合标准的基本内容和具有对机械零件设计有关公差配合选择应用的能力。使学生掌握技术知识,了解主要测量工具的原理和使用、具有对机件的几何面检测的能力</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在“讲、学、练、做”一体化的教学模式下，每个项目都采用了分组教学，具体教学方法和教学手段如下：紧扣培养目标，采用任务驱动的教学方法；以能力培养为要旨，尽可能多的安排生产性实践教学；角色扮演法；头脑风暴法；小组讨论式教学法；演示和讲解法。</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10.汽车专业</w:t>
      </w:r>
      <w:r>
        <w:rPr>
          <w:rFonts w:hint="eastAsia" w:ascii="宋体" w:hAnsi="宋体" w:eastAsia="宋体" w:cs="宋体"/>
          <w:b/>
          <w:bCs/>
          <w:sz w:val="24"/>
          <w:szCs w:val="24"/>
        </w:rPr>
        <w:t>英语</w:t>
      </w:r>
    </w:p>
    <w:p>
      <w:pPr>
        <w:bidi w:val="0"/>
        <w:rPr>
          <w:rFonts w:hint="eastAsia"/>
          <w:lang w:val="en-US" w:eastAsia="zh-CN"/>
        </w:rPr>
      </w:pPr>
      <w:r>
        <w:rPr>
          <w:rFonts w:hint="eastAsia"/>
          <w:lang w:val="en-US" w:eastAsia="zh-CN"/>
        </w:rPr>
        <w:t>（1）课程目标</w:t>
      </w:r>
    </w:p>
    <w:p>
      <w:pPr>
        <w:bidi w:val="0"/>
        <w:rPr>
          <w:rFonts w:hint="default"/>
          <w:lang w:val="en-US" w:eastAsia="zh-CN"/>
        </w:rPr>
      </w:pPr>
      <w:r>
        <w:rPr>
          <w:rFonts w:hint="eastAsia"/>
          <w:lang w:val="en-US" w:eastAsia="zh-CN"/>
        </w:rPr>
        <w:t>通过本课程的教学，使学生获得汽车专业英语的的理论知识,掌握相关的技术术语，为使学生掌握汽车各系统和零部件的英语知识。为后期的查阅相关技术资料打下一定的基础。</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本课程共分为六个模块：lead-in；listening and speaking；reading； grammar； watching and performing； applied writing.</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本课程不仅要帮助学生打好语言基础，更要注重培养学生实际应用语言的技能，特别是用英语处理与专业相关的业务能力。本专业根据以学生的职业需求和发展为依据，制定相关的教学要求。</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11.传感器原理与检测技术</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通过本课程学习能够初步认识传感器构造、传感器的类型；了解汽车中传感器的使用；能够描述汽车传感器的种类与功用；能够知道汽车传感器的发展趋势，能够掌握传感器的检测方法。</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本课程主要讲授汽车学生认识汽车传感器的构造与检测方法等内容。</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 xml:space="preserve"> 作为一门理论的专业必修课程，采用多媒体教学方式，着重点是与实践紧密结合。以解决实际问题为主，着力点在学生小组的工作任务及团队合作，达到学生主动学习的目的。</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（三）专业核心课程</w:t>
      </w:r>
    </w:p>
    <w:p>
      <w:pPr>
        <w:bidi w:val="0"/>
        <w:rPr>
          <w:rFonts w:hint="eastAsia"/>
          <w:lang w:val="en-US" w:eastAsia="zh-CN"/>
        </w:rPr>
      </w:pPr>
      <w:r>
        <w:rPr>
          <w:rFonts w:hint="eastAsia"/>
          <w:lang w:val="en-US" w:eastAsia="zh-CN"/>
        </w:rPr>
        <w:t>专业核心课程主要包括</w:t>
      </w:r>
      <w:bookmarkStart w:id="8" w:name="_Hlk59533300"/>
      <w:r>
        <w:rPr>
          <w:rFonts w:hint="eastAsia"/>
          <w:lang w:val="en-US" w:eastAsia="zh-CN"/>
        </w:rPr>
        <w:t>《汽车发动机构造与维修》</w:t>
      </w:r>
      <w:bookmarkEnd w:id="8"/>
      <w:r>
        <w:rPr>
          <w:rFonts w:hint="eastAsia"/>
          <w:lang w:val="en-US" w:eastAsia="zh-CN"/>
        </w:rPr>
        <w:t>、《底盘构造与维修》、《汽车电气设备与维修》、《电控发动机发动机构造与维修》、《新能源汽车构造》、《纯电动汽车》、《混合动力汽车》、《新能源汽车动力电池结构与维修》、《新能源汽车维护》等。</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1.汽车发动机构造与维修</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本课程主要进行发动机的日常维护保养和定期维护保养；能熟练拆装发动机总成、零部件，正确判定其工作、使用状况；能对曲柄连杆机构进行故障诊断与维修；能对配气机构进行故障诊断与维修；能对汽油机燃油供给系进行故障诊断与维修；能对柴油机燃油供给系进行故障诊断与维修；能对冷却系进行故障诊断与维修；会能进行发动机的组装与调试。</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本课程主要讲授 汽车发动机总论；曲柄连杆机构构造；配气机构检修；汽油机燃油系检修；柴油机燃油系检修；汽车冷却系检修；汽车润滑系的检修；发动机装配、调整与磨合等知识。</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遵循以学生为主体，以教师为引导的教育理念，针对理论教学和实践教学的不同特点，合理进行教学设计，推进教学方法和教学手段改革，恰当运用现代教育技术，有效调动学生的学习积极性，激发学生的学习兴趣，提高教学效果。采用多媒体教学手段，结合生产实践，理论联系实际，增加实验实训课时，安排实践现场参观实习，为学生解决生产实际问题和继续学习打下基础。</w:t>
      </w:r>
    </w:p>
    <w:p>
      <w:pPr>
        <w:bidi w:val="0"/>
        <w:rPr>
          <w:rFonts w:hint="eastAsia"/>
          <w:lang w:val="en-US" w:eastAsia="zh-CN"/>
        </w:rPr>
      </w:pPr>
      <w:r>
        <w:rPr>
          <w:rFonts w:hint="eastAsia"/>
          <w:lang w:val="en-US" w:eastAsia="zh-CN"/>
        </w:rPr>
        <w:t>2.汽车底盘构造与维修</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该课程主要进行能够正确拆装、调整离合器；正确拆装手动变速器，分析故障原因找到故障点，排除故障；能够正确拆装自动变速器，分析档位传递路线；能够正确分析出万向传动装置常见故障并排除；正确使用扒胎机、动平衡仪、四轮定位仪；对转向系统和制动系统常见的故障正确的分析和排除；正确使用常用的拆装和测量工具。</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本课程主要讲授汽车底盘构造总体认识；；汽车传动系统的构造与拆装；汽车行驶系统的构造与拆装；汽车转向系统的构造与拆装；汽车制动系统的构造与拆装等知识。</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遵循以学生为主体，以教师为引导的教育理念，针对理论教学和实践教学的不同特点，合理进行教学设计，推进教学方法和教学手段改革，恰当运用现代教育技术，有效调动学生的学习积极性，激发学生的学习兴趣，提高教学效果。采用多媒体教学手段，结合生产实践，理论联系实际，增加实验实训课时，安排实践现场参观实习，为学生解决生产实际问题和继续学习打下基础。</w:t>
      </w:r>
    </w:p>
    <w:p>
      <w:pPr>
        <w:keepNext w:val="0"/>
        <w:keepLines w:val="0"/>
        <w:pageBreakBefore w:val="0"/>
        <w:widowControl w:val="0"/>
        <w:kinsoku/>
        <w:wordWrap/>
        <w:overflowPunct/>
        <w:topLinePunct w:val="0"/>
        <w:autoSpaceDE/>
        <w:autoSpaceDN/>
        <w:bidi w:val="0"/>
        <w:adjustRightInd/>
        <w:snapToGrid/>
        <w:spacing w:beforeLines="0" w:afterLines="0" w:line="400" w:lineRule="exact"/>
        <w:ind w:left="0" w:firstLine="482" w:firstLineChars="200"/>
        <w:jc w:val="left"/>
        <w:textAlignment w:val="auto"/>
        <w:rPr>
          <w:rFonts w:hint="eastAsia" w:ascii="宋体" w:hAnsi="宋体" w:eastAsia="宋体" w:cs="宋体"/>
          <w:b/>
          <w:bCs w:val="0"/>
          <w:color w:val="000000"/>
          <w:sz w:val="24"/>
          <w:szCs w:val="24"/>
          <w:lang w:val="en-US" w:eastAsia="zh-CN"/>
        </w:rPr>
      </w:pPr>
      <w:r>
        <w:rPr>
          <w:rFonts w:hint="eastAsia" w:ascii="宋体" w:hAnsi="宋体" w:eastAsia="宋体" w:cs="宋体"/>
          <w:b/>
          <w:bCs w:val="0"/>
          <w:color w:val="000000"/>
          <w:sz w:val="24"/>
          <w:szCs w:val="24"/>
          <w:lang w:val="en-US" w:eastAsia="zh-CN"/>
        </w:rPr>
        <w:t>3.汽车电气设备检测与维修</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本课程能使学生从整体上初步认识电器检测与维修所需要的知识与技能，使学生具备一定的电气电路识读、调试、设备维修等知识及相关的职业能力，并能通过典型工作任务教学改革提高学生积极的行动意识和职业规划能力，培养学生的创新创业能力，为后续课程学习作前期准备，为学生顶岗就业夯实基础。同时使学生具备较强的工作方法能力和社会能力。</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 汽车电气设备整体认知；汽车电源系统的认知；汽车起动系统的认知；汽车点火系统的认知与维修；照明与信号系统检测与维修；汽车仪表与报警系统；汽车安全与舒适系统；汽车整车电路分析等知识。</w:t>
      </w:r>
    </w:p>
    <w:p>
      <w:pPr>
        <w:bidi w:val="0"/>
        <w:rPr>
          <w:rFonts w:hint="eastAsia"/>
          <w:lang w:val="en-US" w:eastAsia="zh-CN"/>
        </w:rPr>
      </w:pPr>
      <w:r>
        <w:rPr>
          <w:rFonts w:hint="eastAsia"/>
          <w:lang w:val="en-US" w:eastAsia="zh-CN"/>
        </w:rPr>
        <w:t>（3）教学要求</w:t>
      </w:r>
    </w:p>
    <w:p>
      <w:pPr>
        <w:bidi w:val="0"/>
        <w:rPr>
          <w:rFonts w:ascii="宋体" w:hAnsi="宋体" w:cs="宋体"/>
          <w:sz w:val="24"/>
          <w:szCs w:val="24"/>
          <w:lang w:val="zh-CN"/>
        </w:rPr>
      </w:pPr>
      <w:r>
        <w:rPr>
          <w:rFonts w:hint="eastAsia"/>
          <w:lang w:val="en-US" w:eastAsia="zh-CN"/>
        </w:rPr>
        <w:t>本课程采用“项目导向、任务驱动、教学做一体化”的模式进行教学，教学过程中综合运用任务教学法、演示法、启发引导法、行为导向教学法、讲授法等教学方法结合多媒体课件和仿真软件开展教学，教学中注重对学生职业能力的训练和社会能力的提升.本课程中每个训练项目都是典型汽车电器的构造、检测与维修；由训练入手引入相关知识和理论，通过技能训练提高相关理论知识的综合应用能力，体现做中学、学中练的教学思路；训练项目可以与汽车技能大赛大赛相结合，鼓励团队合作完成训练项目；实施训练项目时，可将操作技能突出的学生安排在重要工位或担任组长，让学生参与训练项目的管理，实行学生教学生；采用教师观察和学生互评相结合的方式，对学生进行全面、公平、公正、公开的考核；实训设备配置、实训室环境布置及管理，尽量接近企业真实环境；课程结束后，为学生考取中级汽车维修电工和汽车维修工打下坚实的基础</w:t>
      </w:r>
      <w:r>
        <w:rPr>
          <w:rFonts w:hint="eastAsia" w:ascii="宋体" w:hAnsi="宋体" w:cs="宋体"/>
          <w:sz w:val="24"/>
          <w:szCs w:val="24"/>
        </w:rPr>
        <w:t>。</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4.电控发动机</w:t>
      </w:r>
    </w:p>
    <w:p>
      <w:pPr>
        <w:bidi w:val="0"/>
        <w:rPr>
          <w:rFonts w:hint="eastAsia"/>
          <w:lang w:val="en-US" w:eastAsia="zh-CN"/>
        </w:rPr>
      </w:pPr>
      <w:r>
        <w:rPr>
          <w:rFonts w:hint="eastAsia"/>
          <w:lang w:val="en-US" w:eastAsia="zh-CN"/>
        </w:rPr>
        <w:t>（1）课程目标</w:t>
      </w:r>
    </w:p>
    <w:p>
      <w:pPr>
        <w:bidi w:val="0"/>
        <w:rPr>
          <w:rFonts w:hint="eastAsia"/>
          <w:lang w:val="en-US" w:eastAsia="zh-CN"/>
        </w:rPr>
      </w:pPr>
      <w:r>
        <w:rPr>
          <w:rFonts w:hint="eastAsia"/>
          <w:lang w:val="en-US" w:eastAsia="zh-CN"/>
        </w:rPr>
        <w:t>本课程能使学生认识电控发动机系统检测与维修所需要的知识与技能，使学生具备一定的电控系统电气电路识读、调试、设备维修等知识及相关的职业能力，并能通过典型工作任务教学改革提高学生积极的行动意识和职业规划能力，培养学生的创新创业能力，为后续课程学习作前期准备，为学生顶岗就业夯实基础。同时使学生具备较强的工作方法能力和社会能力。</w:t>
      </w:r>
    </w:p>
    <w:p>
      <w:pPr>
        <w:bidi w:val="0"/>
        <w:rPr>
          <w:rFonts w:hint="eastAsia"/>
          <w:lang w:val="en-US" w:eastAsia="zh-CN"/>
        </w:rPr>
      </w:pPr>
      <w:r>
        <w:rPr>
          <w:rFonts w:hint="eastAsia"/>
          <w:lang w:val="en-US" w:eastAsia="zh-CN"/>
        </w:rPr>
        <w:t>（2）主要内容</w:t>
      </w:r>
    </w:p>
    <w:p>
      <w:pPr>
        <w:bidi w:val="0"/>
        <w:rPr>
          <w:rFonts w:hint="eastAsia"/>
          <w:lang w:val="en-US" w:eastAsia="zh-CN"/>
        </w:rPr>
      </w:pPr>
      <w:r>
        <w:rPr>
          <w:rFonts w:hint="eastAsia"/>
          <w:lang w:val="en-US" w:eastAsia="zh-CN"/>
        </w:rPr>
        <w:t>本课程主要讲授电控汽油喷射系统、汽油机电控点火系统、怠速控制系统、排气净化与排放控制、进气与增压控制、柴油机电控系统、车上网络技术、发动机电子控制系统的故障诊断等内容。</w:t>
      </w:r>
    </w:p>
    <w:p>
      <w:pPr>
        <w:bidi w:val="0"/>
        <w:rPr>
          <w:rFonts w:hint="eastAsia"/>
          <w:lang w:val="en-US" w:eastAsia="zh-CN"/>
        </w:rPr>
      </w:pPr>
      <w:r>
        <w:rPr>
          <w:rFonts w:hint="eastAsia"/>
          <w:lang w:val="en-US" w:eastAsia="zh-CN"/>
        </w:rPr>
        <w:t>（3）教学要求</w:t>
      </w:r>
    </w:p>
    <w:p>
      <w:pPr>
        <w:bidi w:val="0"/>
        <w:rPr>
          <w:rFonts w:hint="eastAsia"/>
          <w:lang w:val="en-US" w:eastAsia="zh-CN"/>
        </w:rPr>
      </w:pPr>
      <w:r>
        <w:rPr>
          <w:rFonts w:hint="eastAsia"/>
          <w:lang w:val="en-US" w:eastAsia="zh-CN"/>
        </w:rPr>
        <w:t>本课程采用“项目导向、任务驱动、教学做一体化”的模式进行教学，教学过程中综合运用任务教学法、演示法、启发引导法、行为导向教学法、讲授法等教学方法结合多媒体课件和仿真软件开展教学，教学中注重对学生职业能力的训练和社会能力的提升.本课程中每个训练项目都是典型汽车电器的构造、检测与维修；由训练入手引入相关知识和理论，通过技能训练提高相关理论知识的综合应用能力，体现做中学、学中练的教学思路；训练项目可以与汽车技能大赛大赛相结合，鼓励团队合作完成训练项目；实施训练项目时，可将操作技能突出的学生安排在重要工位或担任组长，让学生参与训练项目的管理，实行学生教学生；采用教师观察和学生互评相结合的方式，对学生进行全面、公平、公正、公开的考核；实训设备配置、实训室环境布置及管理，尽量接近企业真实环境；课程结束后，为学生考取中级汽车维修电工和汽车维修工打下坚实的基础。</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 新能源汽车性能使用与维护</w:t>
      </w:r>
    </w:p>
    <w:p>
      <w:pPr>
        <w:bidi w:val="0"/>
        <w:rPr>
          <w:rFonts w:hint="eastAsia"/>
          <w:lang w:val="en-US" w:eastAsia="zh-CN"/>
        </w:rPr>
      </w:pPr>
      <w:r>
        <w:rPr>
          <w:rFonts w:hint="eastAsia"/>
          <w:lang w:val="en-US" w:eastAsia="zh-CN"/>
        </w:rPr>
        <w:t>（1）课程目标：使学生掌握高压安全防护措施、维护工具的使用、新能源汽车PDI检测方法与流程；新能源汽车动力电池、电机、空调系统等检查与维护的方法。能够对新能源汽车整车进行维护保养和检测。将课程思政融入教学，弘扬社会主义核心价值观，培养学生精益求精、一丝不苟的职业素养和工匠精神。</w:t>
      </w:r>
    </w:p>
    <w:p>
      <w:pPr>
        <w:bidi w:val="0"/>
        <w:rPr>
          <w:rFonts w:hint="eastAsia"/>
          <w:lang w:val="en-US" w:eastAsia="zh-CN"/>
        </w:rPr>
      </w:pPr>
      <w:r>
        <w:rPr>
          <w:rFonts w:hint="eastAsia"/>
          <w:lang w:val="en-US" w:eastAsia="zh-CN"/>
        </w:rPr>
        <w:t>（2）课程内容：主要内容包括新能源汽车结构；新能源汽车正确使用；新能源汽车维护保养；新能源汽车的维护保养规范；新能源汽车电池、电机等的维护保养案例等。</w:t>
      </w:r>
    </w:p>
    <w:p>
      <w:pPr>
        <w:bidi w:val="0"/>
        <w:rPr>
          <w:rFonts w:hint="eastAsia"/>
          <w:lang w:val="en-US" w:eastAsia="zh-CN"/>
        </w:rPr>
      </w:pPr>
      <w:r>
        <w:rPr>
          <w:rFonts w:hint="eastAsia"/>
          <w:lang w:val="en-US" w:eastAsia="zh-CN"/>
        </w:rPr>
        <w:t>（3）教学要求：实训场所需配备新能源汽车及教学一体机等资源，采用教授法、情境教学法、任务驱动法等，使学生掌握新能源汽车维护、保养、检测的知识。</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6.纯电动汽车</w:t>
      </w:r>
    </w:p>
    <w:p>
      <w:pPr>
        <w:bidi w:val="0"/>
        <w:rPr>
          <w:rFonts w:hint="eastAsia"/>
          <w:lang w:val="en-US" w:eastAsia="zh-CN"/>
        </w:rPr>
      </w:pPr>
      <w:r>
        <w:rPr>
          <w:rFonts w:hint="eastAsia"/>
          <w:lang w:val="en-US" w:eastAsia="zh-CN"/>
        </w:rPr>
        <w:t>（1）课程目标：培养学生掌握纯电动汽车结构与检测方法；学会纯电动汽车相关系统检测和诊断技能；学会纯电动汽车专用拆卸与维修工具、诊断仪操作技能；并通过将课程思政融入专业教学，弘扬社会主义核心价值观，培养学生积极向上、勤于思考的学习态度和安全生产、规范操作、爱护环境的职业素养。</w:t>
      </w:r>
    </w:p>
    <w:p>
      <w:pPr>
        <w:bidi w:val="0"/>
        <w:rPr>
          <w:rFonts w:hint="eastAsia"/>
          <w:lang w:val="en-US" w:eastAsia="zh-CN"/>
        </w:rPr>
      </w:pPr>
      <w:r>
        <w:rPr>
          <w:rFonts w:hint="eastAsia"/>
          <w:lang w:val="en-US" w:eastAsia="zh-CN"/>
        </w:rPr>
        <w:t>（2）课程内容：主要内容包括新纯电动汽车结构原理；诊断、维修工具使用；纯电动汽车检测与数据分析；高压电路绝缘阻值检测；充电系统故障诊断；驱动电机系统故障诊断；空调系统故障诊断等。</w:t>
      </w:r>
    </w:p>
    <w:p>
      <w:pPr>
        <w:bidi w:val="0"/>
        <w:rPr>
          <w:rFonts w:hint="eastAsia"/>
          <w:lang w:val="en-US" w:eastAsia="zh-CN"/>
        </w:rPr>
      </w:pPr>
      <w:r>
        <w:rPr>
          <w:rFonts w:hint="eastAsia"/>
          <w:lang w:val="en-US" w:eastAsia="zh-CN"/>
        </w:rPr>
        <w:t>（3）教学要求：教学做一体化课程，实训场所需配备纯电动汽车、教学一体机等资源，采用情境教学法、任务驱动法等，使学生掌握纯电动汽车诊断、检测、维修等方面的知识。</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7.混合动力汽车</w:t>
      </w:r>
    </w:p>
    <w:p>
      <w:pPr>
        <w:bidi w:val="0"/>
        <w:rPr>
          <w:rFonts w:hint="eastAsia"/>
          <w:lang w:val="en-US" w:eastAsia="zh-CN"/>
        </w:rPr>
      </w:pPr>
      <w:r>
        <w:rPr>
          <w:rFonts w:hint="eastAsia"/>
          <w:lang w:val="en-US" w:eastAsia="zh-CN"/>
        </w:rPr>
        <w:t>（1）课程目标：了解混合动力汽车的发展现状、动力耦合技术，能说出混合动力汽车的工作过程，掌握混合动力汽车动力电池与电机技术，明白其与纯电动汽车相关技术的区别。将课程思政融入教学，弘扬社会主义核心价值观，培养学生积极向上的态度，分析问题、解决问题的能力。</w:t>
      </w:r>
    </w:p>
    <w:p>
      <w:pPr>
        <w:bidi w:val="0"/>
        <w:rPr>
          <w:rFonts w:hint="eastAsia"/>
          <w:lang w:val="en-US" w:eastAsia="zh-CN"/>
        </w:rPr>
      </w:pPr>
      <w:r>
        <w:rPr>
          <w:rFonts w:hint="eastAsia"/>
          <w:lang w:val="en-US" w:eastAsia="zh-CN"/>
        </w:rPr>
        <w:t>（2）课程内容：主要内容包括混合动力汽车概述；动力耦合技术；混合动力汽车的工作过程；混合动力汽车的动力系统；混合动力汽车的动力电池与电机技术；混合动力车型技术对比；丰田普锐斯故障维修案例等。</w:t>
      </w:r>
    </w:p>
    <w:p>
      <w:pPr>
        <w:bidi w:val="0"/>
        <w:rPr>
          <w:rFonts w:hint="eastAsia"/>
          <w:lang w:val="en-US" w:eastAsia="zh-CN"/>
        </w:rPr>
      </w:pPr>
      <w:r>
        <w:rPr>
          <w:rFonts w:hint="eastAsia"/>
          <w:lang w:val="en-US" w:eastAsia="zh-CN"/>
        </w:rPr>
        <w:t>（3）教学要求：实训场所需配备混合动力汽车及相关动画、教学一体机等资源，采用教授法、头脑风暴法等。使学生掌握混合动力汽车原理和检修等方面的知识。</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8.新能源汽车维护</w:t>
      </w:r>
    </w:p>
    <w:p>
      <w:pPr>
        <w:bidi w:val="0"/>
        <w:rPr>
          <w:rFonts w:hint="eastAsia"/>
          <w:lang w:val="en-US" w:eastAsia="zh-CN"/>
        </w:rPr>
      </w:pPr>
      <w:r>
        <w:rPr>
          <w:rFonts w:hint="eastAsia"/>
          <w:lang w:val="en-US" w:eastAsia="zh-CN"/>
        </w:rPr>
        <w:t>（1）课程目标：使学生掌握高压安全防护措施、维护工具的使用、新能源汽车PDI检测方法与流程；新能源汽车动力电池、电机、空调系统等检查与维护的方法。能够对新能源汽车整车进行维护保养和检测。将课程思政融入教学，弘扬社会主义核心价值观，培养学生精益求精、一丝不苟的职业素养和工匠精神。</w:t>
      </w:r>
    </w:p>
    <w:p>
      <w:pPr>
        <w:bidi w:val="0"/>
        <w:rPr>
          <w:rFonts w:hint="eastAsia"/>
          <w:lang w:val="en-US" w:eastAsia="zh-CN"/>
        </w:rPr>
      </w:pPr>
      <w:r>
        <w:rPr>
          <w:rFonts w:hint="eastAsia"/>
          <w:lang w:val="en-US" w:eastAsia="zh-CN"/>
        </w:rPr>
        <w:t>（2）课程内容：主要内容包括新能源汽车结构；新能源汽车正确使用；新能源汽车维护保养；新能源汽车的维护保养规范；新能源汽车电池、电机等的维护保养案例等。</w:t>
      </w:r>
    </w:p>
    <w:p>
      <w:pPr>
        <w:bidi w:val="0"/>
        <w:rPr>
          <w:rFonts w:hint="eastAsia"/>
          <w:lang w:val="en-US" w:eastAsia="zh-CN"/>
        </w:rPr>
      </w:pPr>
      <w:r>
        <w:rPr>
          <w:rFonts w:hint="eastAsia"/>
          <w:lang w:val="en-US" w:eastAsia="zh-CN"/>
        </w:rPr>
        <w:t>（3）教学要求：实训场所需配备新能源汽车及教学一体机等资源，采用教授法、情境教学法、任务驱动法等，使学生掌握新能源汽车维护、保养、检测的知识。</w:t>
      </w:r>
    </w:p>
    <w:p>
      <w:pPr>
        <w:bidi w:val="0"/>
        <w:rPr>
          <w:rFonts w:hint="eastAsia"/>
          <w:lang w:val="en-US" w:eastAsia="zh-CN"/>
        </w:rPr>
      </w:pPr>
      <w:r>
        <w:rPr>
          <w:rFonts w:hint="eastAsia"/>
          <w:lang w:val="en-US" w:eastAsia="zh-CN"/>
        </w:rPr>
        <w:t>9. 动力电池管理及维护技术</w:t>
      </w:r>
    </w:p>
    <w:p>
      <w:pPr>
        <w:bidi w:val="0"/>
        <w:rPr>
          <w:rFonts w:hint="eastAsia"/>
          <w:lang w:val="en-US" w:eastAsia="zh-CN"/>
        </w:rPr>
      </w:pPr>
      <w:r>
        <w:rPr>
          <w:rFonts w:hint="eastAsia"/>
          <w:lang w:val="en-US" w:eastAsia="zh-CN"/>
        </w:rPr>
        <w:t>（1）课程目标：使学生掌握诊断检测工具的使用方法、动力电池管理和维护技术、理解动力电池管理系统控制策略。能够对新能源汽车动力电池系统、高低压供电系统进行维护保养及故障诊断检测和维修。将课程思政融入教学，弘扬社会主义核心价值观，培养学生精益求精、一丝不苟的职业素养和工匠精神。</w:t>
      </w:r>
    </w:p>
    <w:p>
      <w:pPr>
        <w:bidi w:val="0"/>
        <w:rPr>
          <w:rFonts w:hint="eastAsia"/>
          <w:lang w:val="en-US" w:eastAsia="zh-CN"/>
        </w:rPr>
      </w:pPr>
      <w:r>
        <w:rPr>
          <w:rFonts w:hint="eastAsia"/>
          <w:lang w:val="en-US" w:eastAsia="zh-CN"/>
        </w:rPr>
        <w:t>（2）课程内容：主要内容包括动力电池管理系统；动力电池状态监测及安全保护；动力电池的SOC、SOH评估；动力电池均衡控制；动力电池信息管理及热管理系统等。</w:t>
      </w:r>
    </w:p>
    <w:p>
      <w:pPr>
        <w:bidi w:val="0"/>
        <w:rPr>
          <w:rFonts w:hint="eastAsia"/>
          <w:lang w:val="en-US" w:eastAsia="zh-CN"/>
        </w:rPr>
      </w:pPr>
      <w:r>
        <w:rPr>
          <w:rFonts w:hint="eastAsia"/>
          <w:lang w:val="en-US" w:eastAsia="zh-CN"/>
        </w:rPr>
        <w:t>（3）教学要求：实训场所需配备电池模型、新能源汽车、动力电池管理系统实训台、教学一体机等资源，采用教授法、情境教学法、任务驱动法等，使学生掌握动力电池系统管理、诊断、维修等方面的知识，考核形式为过程性考核（60%）+终结性考核（40%）。</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10. 充电系统结构原理与检修</w:t>
      </w:r>
    </w:p>
    <w:p>
      <w:pPr>
        <w:bidi w:val="0"/>
        <w:rPr>
          <w:rFonts w:hint="eastAsia"/>
          <w:lang w:val="en-US" w:eastAsia="zh-CN"/>
        </w:rPr>
      </w:pPr>
      <w:r>
        <w:rPr>
          <w:rFonts w:hint="eastAsia"/>
          <w:lang w:val="en-US" w:eastAsia="zh-CN"/>
        </w:rPr>
        <w:t>（1）课程目标：使学生掌握诊断检测工具的使用以及充电桩管理和维护技术；能够对快充及慢充设备进行基本维护及保养；能够进行高低压系统的诊断、检测和维修。将课程思政融入教学，弘扬社会主义核心价值观，培养学生积极向上的态度，分析问题、解决问题的能力。</w:t>
      </w:r>
    </w:p>
    <w:p>
      <w:pPr>
        <w:bidi w:val="0"/>
        <w:rPr>
          <w:rFonts w:hint="eastAsia"/>
          <w:lang w:val="en-US" w:eastAsia="zh-CN"/>
        </w:rPr>
      </w:pPr>
      <w:r>
        <w:rPr>
          <w:rFonts w:hint="eastAsia"/>
          <w:lang w:val="en-US" w:eastAsia="zh-CN"/>
        </w:rPr>
        <w:t>（2）课程内容：主要内容包括充电桩的概念；充电桩的不同类型及发展趋势；充电桩的管理和维护技术；充电桩工作原理及控制策略等。</w:t>
      </w:r>
    </w:p>
    <w:p>
      <w:pPr>
        <w:bidi w:val="0"/>
        <w:rPr>
          <w:rFonts w:hint="eastAsia"/>
          <w:lang w:val="en-US" w:eastAsia="zh-CN"/>
        </w:rPr>
      </w:pPr>
      <w:r>
        <w:rPr>
          <w:rFonts w:hint="eastAsia"/>
          <w:lang w:val="en-US" w:eastAsia="zh-CN"/>
        </w:rPr>
        <w:t xml:space="preserve">（3）教学要求：实训场所需配备新能源汽车、充电系统台架、教学一体机等资源，采用教授法、情境教学法、任务驱动法等，使学生掌握充电桩的管理和维护等方面的知识，考核形式为过程性考核（70%）+终结性考核（30%）。     </w:t>
      </w:r>
    </w:p>
    <w:p>
      <w:pPr>
        <w:bidi w:val="0"/>
        <w:rPr>
          <w:rFonts w:hint="eastAsia"/>
          <w:lang w:val="en-US" w:eastAsia="zh-CN"/>
        </w:rPr>
      </w:pPr>
      <w:r>
        <w:rPr>
          <w:rFonts w:hint="eastAsia"/>
          <w:lang w:val="en-US" w:eastAsia="zh-CN"/>
        </w:rPr>
        <w:t>11. 驱动电机及控制技术</w:t>
      </w:r>
    </w:p>
    <w:p>
      <w:pPr>
        <w:bidi w:val="0"/>
        <w:rPr>
          <w:rFonts w:hint="eastAsia"/>
          <w:lang w:val="en-US" w:eastAsia="zh-CN"/>
        </w:rPr>
      </w:pPr>
      <w:r>
        <w:rPr>
          <w:rFonts w:hint="eastAsia"/>
          <w:lang w:val="en-US" w:eastAsia="zh-CN"/>
        </w:rPr>
        <w:t>（1）课程目标：使学生掌握交流异步电机、永磁同步电机等多种电机的原理、结构及相关控制技术在电动汽车中的应用。具备驱动电机系统、电机控制器故障诊断、检测和维修的能力，能够更换驱动电机和电机控制器。将课程思政融入教学，弘扬社会主义核心价值观，培养学生精益求精、一丝不苟的职业素养和工匠精神。</w:t>
      </w:r>
    </w:p>
    <w:p>
      <w:pPr>
        <w:bidi w:val="0"/>
        <w:rPr>
          <w:rFonts w:hint="eastAsia"/>
          <w:lang w:val="en-US" w:eastAsia="zh-CN"/>
        </w:rPr>
      </w:pPr>
      <w:r>
        <w:rPr>
          <w:rFonts w:hint="eastAsia"/>
          <w:lang w:val="en-US" w:eastAsia="zh-CN"/>
        </w:rPr>
        <w:t>（2）课程内容：主要内容包括多种电动汽车驱动电机的类型、结构、原理和应用；功率变换电路原理；电力电子技术在驱动电机控制中的应用；驱动电机系统故障诊断、检测和维修等。</w:t>
      </w:r>
    </w:p>
    <w:p>
      <w:pPr>
        <w:bidi w:val="0"/>
        <w:rPr>
          <w:rFonts w:hint="eastAsia"/>
          <w:lang w:val="en-US" w:eastAsia="zh-CN"/>
        </w:rPr>
      </w:pPr>
      <w:r>
        <w:rPr>
          <w:rFonts w:hint="eastAsia"/>
          <w:lang w:val="en-US" w:eastAsia="zh-CN"/>
        </w:rPr>
        <w:t>（3）教学要求：实训场所需配备电机模型、新能源汽车、电机系统实训台，电机原理动画、教学一体机等资源，采用任务驱动法和项目教学法等，使学生掌握电机控制相关技术、电机系统故障诊断等方面的知识，考核形式为过程性考核（60%）+终结性考核（40%）。</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12. 新能源汽车检测与诊断技术</w:t>
      </w:r>
    </w:p>
    <w:p>
      <w:pPr>
        <w:bidi w:val="0"/>
        <w:rPr>
          <w:rFonts w:hint="eastAsia"/>
          <w:lang w:val="en-US" w:eastAsia="zh-CN"/>
        </w:rPr>
      </w:pPr>
      <w:r>
        <w:rPr>
          <w:rFonts w:hint="eastAsia"/>
          <w:lang w:val="en-US" w:eastAsia="zh-CN"/>
        </w:rPr>
        <w:t>（1）课程目标：培养学生掌握新能源汽车检测与分析方法；学会新能源汽车相关系统检测和诊断技能；学会新能源汽车专用拆卸与维修工具、诊断仪操作技能；并通过将课程思政融入专业教学，弘扬社会主义核心价值观，培养学生积极向上、勤于思考的学习态度和安全生产、规范操作、爱护环境的职业素养。</w:t>
      </w:r>
    </w:p>
    <w:p>
      <w:pPr>
        <w:bidi w:val="0"/>
        <w:rPr>
          <w:rFonts w:hint="eastAsia"/>
          <w:lang w:val="en-US" w:eastAsia="zh-CN"/>
        </w:rPr>
      </w:pPr>
      <w:r>
        <w:rPr>
          <w:rFonts w:hint="eastAsia"/>
          <w:lang w:val="en-US" w:eastAsia="zh-CN"/>
        </w:rPr>
        <w:t>（2）课程内容：主要内容包括新能源汽车故障诊断原理；诊断、维修工具使用；新能源汽车检测与数据分析；高压电路绝缘阻值检测；充电系统故障诊断；驱动电机系统故障诊断；空调系统故障诊断等。</w:t>
      </w:r>
    </w:p>
    <w:p>
      <w:pPr>
        <w:bidi w:val="0"/>
        <w:rPr>
          <w:rFonts w:hint="eastAsia"/>
          <w:lang w:val="en-US" w:eastAsia="zh-CN"/>
        </w:rPr>
      </w:pPr>
      <w:r>
        <w:rPr>
          <w:rFonts w:hint="eastAsia"/>
          <w:lang w:val="en-US" w:eastAsia="zh-CN"/>
        </w:rPr>
        <w:t>（3）教学要求：教学做一体化课程，实训场所需配备新能源汽车、教学一体机等资源，采用情境教学法、任务驱动法等，使学生掌握新能源汽车诊断、检测、维修等方面的知识。考核形式为过程性考核（60%）+终结性考核（40%）。</w:t>
      </w: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八、教学进程总体安排</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（一）教学计划进程表</w:t>
      </w:r>
    </w:p>
    <w:tbl>
      <w:tblPr>
        <w:tblStyle w:val="6"/>
        <w:tblpPr w:leftFromText="180" w:rightFromText="180" w:vertAnchor="text" w:horzAnchor="page" w:tblpXSpec="center" w:tblpY="1075"/>
        <w:tblOverlap w:val="never"/>
        <w:tblW w:w="96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8"/>
        <w:gridCol w:w="796"/>
        <w:gridCol w:w="2303"/>
        <w:gridCol w:w="366"/>
        <w:gridCol w:w="538"/>
        <w:gridCol w:w="563"/>
        <w:gridCol w:w="601"/>
        <w:gridCol w:w="521"/>
        <w:gridCol w:w="520"/>
        <w:gridCol w:w="718"/>
        <w:gridCol w:w="1177"/>
        <w:gridCol w:w="6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5" w:hRule="atLeast"/>
          <w:jc w:val="center"/>
        </w:trPr>
        <w:tc>
          <w:tcPr>
            <w:tcW w:w="968" w:type="dxa"/>
            <w:vMerge w:val="restart"/>
            <w:vAlign w:val="center"/>
          </w:tcPr>
          <w:p>
            <w:pPr>
              <w:pStyle w:val="10"/>
              <w:spacing w:before="3"/>
              <w:jc w:val="center"/>
              <w:rPr>
                <w:rFonts w:hint="eastAsia" w:ascii="仿宋" w:hAnsi="仿宋" w:eastAsia="仿宋" w:cs="仿宋"/>
                <w:sz w:val="18"/>
                <w:szCs w:val="18"/>
              </w:rPr>
            </w:pPr>
          </w:p>
          <w:p>
            <w:pPr>
              <w:pStyle w:val="10"/>
              <w:spacing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w:t>
            </w:r>
            <w:r>
              <w:rPr>
                <w:rFonts w:hint="eastAsia" w:ascii="仿宋" w:hAnsi="仿宋" w:eastAsia="仿宋" w:cs="仿宋"/>
                <w:sz w:val="18"/>
                <w:szCs w:val="18"/>
                <w:lang w:val="en-US" w:eastAsia="zh-CN"/>
              </w:rPr>
              <w:t>一</w:t>
            </w:r>
            <w:r>
              <w:rPr>
                <w:rFonts w:hint="eastAsia" w:ascii="仿宋" w:hAnsi="仿宋" w:eastAsia="仿宋" w:cs="仿宋"/>
                <w:sz w:val="18"/>
                <w:szCs w:val="18"/>
              </w:rPr>
              <w:t>学期</w:t>
            </w:r>
          </w:p>
          <w:p>
            <w:pPr>
              <w:pStyle w:val="10"/>
              <w:spacing w:line="230" w:lineRule="auto"/>
              <w:ind w:left="206" w:right="190"/>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96" w:type="dxa"/>
            <w:vMerge w:val="restart"/>
            <w:vAlign w:val="center"/>
          </w:tcPr>
          <w:p>
            <w:pPr>
              <w:pStyle w:val="10"/>
              <w:spacing w:before="3"/>
              <w:jc w:val="center"/>
              <w:rPr>
                <w:rFonts w:hint="eastAsia" w:ascii="仿宋" w:hAnsi="仿宋" w:eastAsia="仿宋" w:cs="仿宋"/>
                <w:sz w:val="18"/>
                <w:szCs w:val="18"/>
              </w:rPr>
            </w:pPr>
          </w:p>
          <w:p>
            <w:pPr>
              <w:pStyle w:val="10"/>
              <w:spacing w:line="230" w:lineRule="auto"/>
              <w:ind w:left="209" w:right="201"/>
              <w:jc w:val="center"/>
              <w:rPr>
                <w:rFonts w:hint="eastAsia" w:ascii="仿宋" w:hAnsi="仿宋" w:eastAsia="仿宋" w:cs="仿宋"/>
                <w:sz w:val="18"/>
                <w:szCs w:val="18"/>
              </w:rPr>
            </w:pPr>
            <w:r>
              <w:rPr>
                <w:rFonts w:hint="eastAsia" w:ascii="仿宋" w:hAnsi="仿宋" w:eastAsia="仿宋" w:cs="仿宋"/>
                <w:spacing w:val="-2"/>
                <w:sz w:val="18"/>
                <w:szCs w:val="18"/>
              </w:rPr>
              <w:t>课程编号</w:t>
            </w:r>
          </w:p>
        </w:tc>
        <w:tc>
          <w:tcPr>
            <w:tcW w:w="2303" w:type="dxa"/>
            <w:vMerge w:val="restart"/>
            <w:vAlign w:val="center"/>
          </w:tcPr>
          <w:p>
            <w:pPr>
              <w:pStyle w:val="10"/>
              <w:jc w:val="center"/>
              <w:rPr>
                <w:rFonts w:hint="eastAsia" w:ascii="仿宋" w:hAnsi="仿宋" w:eastAsia="仿宋" w:cs="仿宋"/>
                <w:sz w:val="18"/>
                <w:szCs w:val="18"/>
              </w:rPr>
            </w:pPr>
          </w:p>
          <w:p>
            <w:pPr>
              <w:pStyle w:val="10"/>
              <w:spacing w:before="158"/>
              <w:ind w:left="752" w:right="740"/>
              <w:jc w:val="center"/>
              <w:rPr>
                <w:rFonts w:hint="eastAsia" w:ascii="仿宋" w:hAnsi="仿宋" w:eastAsia="仿宋" w:cs="仿宋"/>
                <w:sz w:val="18"/>
                <w:szCs w:val="18"/>
              </w:rPr>
            </w:pPr>
            <w:r>
              <w:rPr>
                <w:rFonts w:hint="eastAsia" w:ascii="仿宋" w:hAnsi="仿宋" w:eastAsia="仿宋" w:cs="仿宋"/>
                <w:sz w:val="18"/>
                <w:szCs w:val="18"/>
              </w:rPr>
              <w:t>课程名称</w:t>
            </w:r>
          </w:p>
        </w:tc>
        <w:tc>
          <w:tcPr>
            <w:tcW w:w="366" w:type="dxa"/>
            <w:vMerge w:val="restart"/>
            <w:vAlign w:val="center"/>
          </w:tcPr>
          <w:p>
            <w:pPr>
              <w:pStyle w:val="10"/>
              <w:spacing w:before="69" w:line="228" w:lineRule="auto"/>
              <w:ind w:left="107" w:right="59"/>
              <w:jc w:val="center"/>
              <w:rPr>
                <w:rFonts w:hint="eastAsia" w:ascii="仿宋" w:hAnsi="仿宋" w:eastAsia="仿宋" w:cs="仿宋"/>
                <w:sz w:val="18"/>
                <w:szCs w:val="18"/>
              </w:rPr>
            </w:pPr>
            <w:r>
              <w:rPr>
                <w:rFonts w:hint="eastAsia" w:ascii="仿宋" w:hAnsi="仿宋" w:eastAsia="仿宋" w:cs="仿宋"/>
                <w:sz w:val="18"/>
                <w:szCs w:val="18"/>
              </w:rPr>
              <w:t>核心课程</w:t>
            </w:r>
          </w:p>
        </w:tc>
        <w:tc>
          <w:tcPr>
            <w:tcW w:w="538" w:type="dxa"/>
            <w:vMerge w:val="restart"/>
            <w:vAlign w:val="center"/>
          </w:tcPr>
          <w:p>
            <w:pPr>
              <w:pStyle w:val="10"/>
              <w:spacing w:before="69" w:line="228" w:lineRule="auto"/>
              <w:ind w:left="173" w:right="163"/>
              <w:jc w:val="center"/>
              <w:rPr>
                <w:rFonts w:hint="eastAsia" w:ascii="仿宋" w:hAnsi="仿宋" w:eastAsia="仿宋" w:cs="仿宋"/>
                <w:sz w:val="18"/>
                <w:szCs w:val="18"/>
              </w:rPr>
            </w:pPr>
            <w:r>
              <w:rPr>
                <w:rFonts w:hint="eastAsia" w:ascii="仿宋" w:hAnsi="仿宋" w:eastAsia="仿宋" w:cs="仿宋"/>
                <w:sz w:val="18"/>
                <w:szCs w:val="18"/>
              </w:rPr>
              <w:t>课程性质</w:t>
            </w:r>
          </w:p>
        </w:tc>
        <w:tc>
          <w:tcPr>
            <w:tcW w:w="563" w:type="dxa"/>
            <w:vMerge w:val="restart"/>
            <w:vAlign w:val="center"/>
          </w:tcPr>
          <w:p>
            <w:pPr>
              <w:pStyle w:val="10"/>
              <w:spacing w:before="82"/>
              <w:ind w:left="323"/>
              <w:jc w:val="center"/>
              <w:rPr>
                <w:rFonts w:hint="eastAsia" w:ascii="仿宋" w:hAnsi="仿宋" w:eastAsia="仿宋" w:cs="仿宋"/>
                <w:sz w:val="18"/>
                <w:szCs w:val="18"/>
              </w:rPr>
            </w:pPr>
            <w:r>
              <w:rPr>
                <w:rFonts w:hint="eastAsia" w:ascii="仿宋" w:hAnsi="仿宋" w:eastAsia="仿宋" w:cs="仿宋"/>
                <w:sz w:val="18"/>
                <w:szCs w:val="18"/>
              </w:rPr>
              <w:t>学分</w:t>
            </w:r>
          </w:p>
        </w:tc>
        <w:tc>
          <w:tcPr>
            <w:tcW w:w="601" w:type="dxa"/>
            <w:vMerge w:val="restart"/>
            <w:vAlign w:val="center"/>
          </w:tcPr>
          <w:p>
            <w:pPr>
              <w:pStyle w:val="10"/>
              <w:spacing w:before="101"/>
              <w:ind w:left="323"/>
              <w:jc w:val="center"/>
              <w:rPr>
                <w:rFonts w:hint="eastAsia" w:ascii="仿宋" w:hAnsi="仿宋" w:eastAsia="仿宋" w:cs="仿宋"/>
                <w:sz w:val="18"/>
                <w:szCs w:val="18"/>
              </w:rPr>
            </w:pPr>
            <w:r>
              <w:rPr>
                <w:rFonts w:hint="eastAsia" w:ascii="仿宋" w:hAnsi="仿宋" w:eastAsia="仿宋" w:cs="仿宋"/>
                <w:sz w:val="18"/>
                <w:szCs w:val="18"/>
              </w:rPr>
              <w:t>学时</w:t>
            </w:r>
          </w:p>
        </w:tc>
        <w:tc>
          <w:tcPr>
            <w:tcW w:w="1041" w:type="dxa"/>
            <w:gridSpan w:val="2"/>
            <w:vAlign w:val="center"/>
          </w:tcPr>
          <w:p>
            <w:pPr>
              <w:pStyle w:val="10"/>
              <w:spacing w:before="86"/>
              <w:ind w:left="149"/>
              <w:jc w:val="center"/>
              <w:rPr>
                <w:rFonts w:hint="eastAsia" w:ascii="仿宋" w:hAnsi="仿宋" w:eastAsia="仿宋" w:cs="仿宋"/>
                <w:sz w:val="18"/>
                <w:szCs w:val="18"/>
              </w:rPr>
            </w:pPr>
            <w:r>
              <w:rPr>
                <w:rFonts w:hint="eastAsia" w:ascii="仿宋" w:hAnsi="仿宋" w:eastAsia="仿宋" w:cs="仿宋"/>
                <w:sz w:val="18"/>
                <w:szCs w:val="18"/>
              </w:rPr>
              <w:t>学时分配</w:t>
            </w:r>
          </w:p>
        </w:tc>
        <w:tc>
          <w:tcPr>
            <w:tcW w:w="718" w:type="dxa"/>
            <w:vMerge w:val="restart"/>
            <w:vAlign w:val="center"/>
          </w:tcPr>
          <w:p>
            <w:pPr>
              <w:pStyle w:val="10"/>
              <w:spacing w:before="3"/>
              <w:jc w:val="center"/>
              <w:rPr>
                <w:rFonts w:hint="eastAsia" w:ascii="仿宋" w:hAnsi="仿宋" w:eastAsia="仿宋" w:cs="仿宋"/>
                <w:sz w:val="18"/>
                <w:szCs w:val="18"/>
              </w:rPr>
            </w:pPr>
          </w:p>
          <w:p>
            <w:pPr>
              <w:pStyle w:val="10"/>
              <w:spacing w:line="230" w:lineRule="auto"/>
              <w:ind w:left="262" w:right="162" w:hanging="92"/>
              <w:jc w:val="center"/>
              <w:rPr>
                <w:rFonts w:hint="eastAsia" w:ascii="仿宋" w:hAnsi="仿宋" w:eastAsia="仿宋" w:cs="仿宋"/>
                <w:sz w:val="18"/>
                <w:szCs w:val="18"/>
              </w:rPr>
            </w:pPr>
            <w:r>
              <w:rPr>
                <w:rFonts w:hint="eastAsia" w:ascii="仿宋" w:hAnsi="仿宋" w:eastAsia="仿宋" w:cs="仿宋"/>
                <w:spacing w:val="-2"/>
                <w:sz w:val="18"/>
                <w:szCs w:val="18"/>
              </w:rPr>
              <w:t>周学</w:t>
            </w:r>
            <w:r>
              <w:rPr>
                <w:rFonts w:hint="eastAsia" w:ascii="仿宋" w:hAnsi="仿宋" w:eastAsia="仿宋" w:cs="仿宋"/>
                <w:sz w:val="18"/>
                <w:szCs w:val="18"/>
              </w:rPr>
              <w:t>时</w:t>
            </w:r>
          </w:p>
        </w:tc>
        <w:tc>
          <w:tcPr>
            <w:tcW w:w="1177" w:type="dxa"/>
            <w:vMerge w:val="restart"/>
            <w:vAlign w:val="center"/>
          </w:tcPr>
          <w:p>
            <w:pPr>
              <w:pStyle w:val="10"/>
              <w:spacing w:before="3"/>
              <w:jc w:val="center"/>
              <w:rPr>
                <w:rFonts w:hint="eastAsia" w:ascii="仿宋" w:hAnsi="仿宋" w:eastAsia="仿宋" w:cs="仿宋"/>
                <w:sz w:val="18"/>
                <w:szCs w:val="18"/>
              </w:rPr>
            </w:pPr>
          </w:p>
          <w:p>
            <w:pPr>
              <w:pStyle w:val="10"/>
              <w:spacing w:line="230" w:lineRule="auto"/>
              <w:ind w:left="397" w:right="386"/>
              <w:jc w:val="center"/>
              <w:rPr>
                <w:rFonts w:hint="eastAsia" w:ascii="仿宋" w:hAnsi="仿宋" w:eastAsia="仿宋" w:cs="仿宋"/>
                <w:sz w:val="18"/>
                <w:szCs w:val="18"/>
              </w:rPr>
            </w:pPr>
            <w:r>
              <w:rPr>
                <w:rFonts w:hint="eastAsia" w:ascii="仿宋" w:hAnsi="仿宋" w:eastAsia="仿宋" w:cs="仿宋"/>
                <w:spacing w:val="-2"/>
                <w:sz w:val="18"/>
                <w:szCs w:val="18"/>
              </w:rPr>
              <w:t>课程类别</w:t>
            </w:r>
          </w:p>
        </w:tc>
        <w:tc>
          <w:tcPr>
            <w:tcW w:w="609" w:type="dxa"/>
            <w:vMerge w:val="restart"/>
            <w:vAlign w:val="center"/>
          </w:tcPr>
          <w:p>
            <w:pPr>
              <w:pStyle w:val="10"/>
              <w:jc w:val="center"/>
              <w:rPr>
                <w:rFonts w:hint="eastAsia" w:ascii="仿宋" w:hAnsi="仿宋" w:eastAsia="仿宋" w:cs="仿宋"/>
                <w:sz w:val="18"/>
                <w:szCs w:val="18"/>
              </w:rPr>
            </w:pPr>
          </w:p>
          <w:p>
            <w:pPr>
              <w:pStyle w:val="10"/>
              <w:spacing w:before="158"/>
              <w:ind w:left="119"/>
              <w:jc w:val="center"/>
              <w:rPr>
                <w:rFonts w:hint="eastAsia" w:ascii="仿宋" w:hAnsi="仿宋" w:eastAsia="仿宋" w:cs="仿宋"/>
                <w:sz w:val="18"/>
                <w:szCs w:val="18"/>
              </w:rPr>
            </w:pPr>
            <w:r>
              <w:rPr>
                <w:rFonts w:hint="eastAsia" w:ascii="仿宋" w:hAnsi="仿宋" w:eastAsia="仿宋" w:cs="仿宋"/>
                <w:sz w:val="18"/>
                <w:szCs w:val="18"/>
              </w:rPr>
              <w:t>考核方式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Merge w:val="continue"/>
            <w:tcBorders>
              <w:top w:val="nil"/>
            </w:tcBorders>
            <w:vAlign w:val="center"/>
          </w:tcPr>
          <w:p>
            <w:pPr>
              <w:jc w:val="center"/>
              <w:rPr>
                <w:rFonts w:hint="eastAsia" w:ascii="仿宋" w:hAnsi="仿宋" w:eastAsia="仿宋" w:cs="仿宋"/>
                <w:sz w:val="18"/>
                <w:szCs w:val="18"/>
              </w:rPr>
            </w:pPr>
          </w:p>
        </w:tc>
        <w:tc>
          <w:tcPr>
            <w:tcW w:w="2303" w:type="dxa"/>
            <w:vMerge w:val="continue"/>
            <w:tcBorders>
              <w:top w:val="nil"/>
            </w:tcBorders>
            <w:vAlign w:val="center"/>
          </w:tcPr>
          <w:p>
            <w:pPr>
              <w:jc w:val="center"/>
              <w:rPr>
                <w:rFonts w:hint="eastAsia" w:ascii="仿宋" w:hAnsi="仿宋" w:eastAsia="仿宋" w:cs="仿宋"/>
                <w:sz w:val="18"/>
                <w:szCs w:val="18"/>
              </w:rPr>
            </w:pPr>
          </w:p>
        </w:tc>
        <w:tc>
          <w:tcPr>
            <w:tcW w:w="366" w:type="dxa"/>
            <w:vMerge w:val="continue"/>
            <w:tcBorders>
              <w:top w:val="nil"/>
            </w:tcBorders>
            <w:vAlign w:val="center"/>
          </w:tcPr>
          <w:p>
            <w:pPr>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Merge w:val="continue"/>
            <w:tcBorders>
              <w:top w:val="nil"/>
            </w:tcBorders>
            <w:vAlign w:val="center"/>
          </w:tcPr>
          <w:p>
            <w:pPr>
              <w:jc w:val="center"/>
              <w:rPr>
                <w:rFonts w:hint="eastAsia" w:ascii="仿宋" w:hAnsi="仿宋" w:eastAsia="仿宋" w:cs="仿宋"/>
                <w:sz w:val="18"/>
                <w:szCs w:val="18"/>
              </w:rPr>
            </w:pPr>
          </w:p>
        </w:tc>
        <w:tc>
          <w:tcPr>
            <w:tcW w:w="601" w:type="dxa"/>
            <w:vMerge w:val="continue"/>
            <w:tcBorders>
              <w:top w:val="nil"/>
            </w:tcBorders>
            <w:vAlign w:val="center"/>
          </w:tcPr>
          <w:p>
            <w:pPr>
              <w:jc w:val="center"/>
              <w:rPr>
                <w:rFonts w:hint="eastAsia" w:ascii="仿宋" w:hAnsi="仿宋" w:eastAsia="仿宋" w:cs="仿宋"/>
                <w:sz w:val="18"/>
                <w:szCs w:val="18"/>
              </w:rPr>
            </w:pPr>
          </w:p>
        </w:tc>
        <w:tc>
          <w:tcPr>
            <w:tcW w:w="521" w:type="dxa"/>
            <w:vAlign w:val="center"/>
          </w:tcPr>
          <w:p>
            <w:pPr>
              <w:pStyle w:val="10"/>
              <w:spacing w:before="81" w:line="230" w:lineRule="auto"/>
              <w:ind w:left="166" w:right="153"/>
              <w:jc w:val="center"/>
              <w:rPr>
                <w:rFonts w:hint="eastAsia" w:ascii="仿宋" w:hAnsi="仿宋" w:eastAsia="仿宋" w:cs="仿宋"/>
                <w:sz w:val="18"/>
                <w:szCs w:val="18"/>
              </w:rPr>
            </w:pPr>
            <w:r>
              <w:rPr>
                <w:rFonts w:hint="eastAsia" w:ascii="仿宋" w:hAnsi="仿宋" w:eastAsia="仿宋" w:cs="仿宋"/>
                <w:sz w:val="18"/>
                <w:szCs w:val="18"/>
              </w:rPr>
              <w:t>理论</w:t>
            </w:r>
          </w:p>
        </w:tc>
        <w:tc>
          <w:tcPr>
            <w:tcW w:w="520" w:type="dxa"/>
            <w:vAlign w:val="center"/>
          </w:tcPr>
          <w:p>
            <w:pPr>
              <w:pStyle w:val="10"/>
              <w:spacing w:before="81" w:line="230" w:lineRule="auto"/>
              <w:ind w:left="163" w:right="155"/>
              <w:jc w:val="center"/>
              <w:rPr>
                <w:rFonts w:hint="eastAsia" w:ascii="仿宋" w:hAnsi="仿宋" w:eastAsia="仿宋" w:cs="仿宋"/>
                <w:sz w:val="18"/>
                <w:szCs w:val="18"/>
              </w:rPr>
            </w:pPr>
            <w:r>
              <w:rPr>
                <w:rFonts w:hint="eastAsia" w:ascii="仿宋" w:hAnsi="仿宋" w:eastAsia="仿宋" w:cs="仿宋"/>
                <w:sz w:val="18"/>
                <w:szCs w:val="18"/>
              </w:rPr>
              <w:t>实践</w:t>
            </w:r>
          </w:p>
        </w:tc>
        <w:tc>
          <w:tcPr>
            <w:tcW w:w="718" w:type="dxa"/>
            <w:vMerge w:val="continue"/>
            <w:tcBorders>
              <w:top w:val="nil"/>
            </w:tcBorders>
            <w:vAlign w:val="center"/>
          </w:tcPr>
          <w:p>
            <w:pPr>
              <w:jc w:val="center"/>
              <w:rPr>
                <w:rFonts w:hint="eastAsia" w:ascii="仿宋" w:hAnsi="仿宋" w:eastAsia="仿宋" w:cs="仿宋"/>
                <w:sz w:val="18"/>
                <w:szCs w:val="18"/>
              </w:rPr>
            </w:pPr>
          </w:p>
        </w:tc>
        <w:tc>
          <w:tcPr>
            <w:tcW w:w="1177" w:type="dxa"/>
            <w:vMerge w:val="continue"/>
            <w:tcBorders>
              <w:top w:val="nil"/>
            </w:tcBorders>
            <w:vAlign w:val="center"/>
          </w:tcPr>
          <w:p>
            <w:pPr>
              <w:jc w:val="center"/>
              <w:rPr>
                <w:rFonts w:hint="eastAsia" w:ascii="仿宋" w:hAnsi="仿宋" w:eastAsia="仿宋" w:cs="仿宋"/>
                <w:sz w:val="18"/>
                <w:szCs w:val="18"/>
              </w:rPr>
            </w:pPr>
          </w:p>
        </w:tc>
        <w:tc>
          <w:tcPr>
            <w:tcW w:w="609" w:type="dxa"/>
            <w:vMerge w:val="continue"/>
            <w:tcBorders>
              <w:top w:val="nil"/>
            </w:tcBorders>
            <w:vAlign w:val="center"/>
          </w:tcPr>
          <w:p>
            <w:pPr>
              <w:jc w:val="center"/>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jc w:val="center"/>
        </w:trPr>
        <w:tc>
          <w:tcPr>
            <w:tcW w:w="968" w:type="dxa"/>
            <w:vMerge w:val="continue"/>
            <w:vAlign w:val="center"/>
          </w:tcPr>
          <w:p>
            <w:pPr>
              <w:pStyle w:val="10"/>
              <w:spacing w:line="226" w:lineRule="exact"/>
              <w:ind w:left="141"/>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jc0105</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语文</w:t>
            </w:r>
          </w:p>
        </w:tc>
        <w:tc>
          <w:tcPr>
            <w:tcW w:w="366" w:type="dxa"/>
            <w:vAlign w:val="center"/>
          </w:tcPr>
          <w:p>
            <w:pPr>
              <w:pStyle w:val="10"/>
              <w:jc w:val="center"/>
              <w:rPr>
                <w:rFonts w:hint="eastAsia" w:ascii="仿宋" w:hAnsi="仿宋" w:eastAsia="仿宋" w:cs="仿宋"/>
                <w:sz w:val="18"/>
                <w:szCs w:val="18"/>
              </w:rPr>
            </w:pPr>
          </w:p>
        </w:tc>
        <w:tc>
          <w:tcPr>
            <w:tcW w:w="538" w:type="dxa"/>
            <w:vMerge w:val="restart"/>
            <w:vAlign w:val="center"/>
          </w:tcPr>
          <w:p>
            <w:pPr>
              <w:pStyle w:val="10"/>
              <w:jc w:val="center"/>
              <w:rPr>
                <w:rFonts w:hint="eastAsia" w:ascii="仿宋" w:hAnsi="仿宋" w:eastAsia="仿宋" w:cs="仿宋"/>
                <w:sz w:val="18"/>
                <w:szCs w:val="18"/>
              </w:rPr>
            </w:pPr>
          </w:p>
          <w:p>
            <w:pPr>
              <w:pStyle w:val="10"/>
              <w:jc w:val="center"/>
              <w:rPr>
                <w:rFonts w:hint="eastAsia" w:ascii="仿宋" w:hAnsi="仿宋" w:eastAsia="仿宋" w:cs="仿宋"/>
                <w:sz w:val="18"/>
                <w:szCs w:val="18"/>
              </w:rPr>
            </w:pPr>
          </w:p>
          <w:p>
            <w:pPr>
              <w:pStyle w:val="10"/>
              <w:jc w:val="center"/>
              <w:rPr>
                <w:rFonts w:hint="eastAsia" w:ascii="仿宋" w:hAnsi="仿宋" w:eastAsia="仿宋" w:cs="仿宋"/>
                <w:sz w:val="18"/>
                <w:szCs w:val="18"/>
              </w:rPr>
            </w:pPr>
          </w:p>
          <w:p>
            <w:pPr>
              <w:pStyle w:val="10"/>
              <w:jc w:val="center"/>
              <w:rPr>
                <w:rFonts w:hint="eastAsia" w:ascii="仿宋" w:hAnsi="仿宋" w:eastAsia="仿宋" w:cs="仿宋"/>
                <w:sz w:val="18"/>
                <w:szCs w:val="18"/>
              </w:rPr>
            </w:pPr>
          </w:p>
          <w:p>
            <w:pPr>
              <w:pStyle w:val="10"/>
              <w:jc w:val="center"/>
              <w:rPr>
                <w:rFonts w:hint="eastAsia" w:ascii="仿宋" w:hAnsi="仿宋" w:eastAsia="仿宋" w:cs="仿宋"/>
                <w:sz w:val="18"/>
                <w:szCs w:val="18"/>
              </w:rPr>
            </w:pPr>
          </w:p>
          <w:p>
            <w:pPr>
              <w:pStyle w:val="10"/>
              <w:spacing w:before="11"/>
              <w:jc w:val="center"/>
              <w:rPr>
                <w:rFonts w:hint="eastAsia" w:ascii="仿宋" w:hAnsi="仿宋" w:eastAsia="仿宋" w:cs="仿宋"/>
                <w:sz w:val="18"/>
                <w:szCs w:val="18"/>
              </w:rPr>
            </w:pPr>
          </w:p>
          <w:p>
            <w:pPr>
              <w:pStyle w:val="10"/>
              <w:spacing w:line="230" w:lineRule="auto"/>
              <w:ind w:left="173" w:right="163"/>
              <w:jc w:val="center"/>
              <w:rPr>
                <w:rFonts w:hint="eastAsia" w:ascii="仿宋" w:hAnsi="仿宋" w:eastAsia="仿宋" w:cs="仿宋"/>
                <w:sz w:val="18"/>
                <w:szCs w:val="18"/>
              </w:rPr>
            </w:pPr>
            <w:r>
              <w:rPr>
                <w:rFonts w:hint="eastAsia" w:ascii="仿宋" w:hAnsi="仿宋" w:eastAsia="仿宋" w:cs="仿宋"/>
                <w:sz w:val="18"/>
                <w:szCs w:val="18"/>
              </w:rPr>
              <w:t>必修</w:t>
            </w:r>
          </w:p>
        </w:tc>
        <w:tc>
          <w:tcPr>
            <w:tcW w:w="563" w:type="dxa"/>
            <w:vAlign w:val="center"/>
          </w:tcPr>
          <w:p>
            <w:pPr>
              <w:pStyle w:val="10"/>
              <w:spacing w:before="29"/>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before="29"/>
              <w:ind w:left="139" w:right="129"/>
              <w:jc w:val="center"/>
              <w:rPr>
                <w:rFonts w:hint="eastAsia" w:ascii="仿宋" w:hAnsi="仿宋" w:eastAsia="仿宋" w:cs="仿宋"/>
                <w:sz w:val="18"/>
                <w:szCs w:val="18"/>
              </w:rPr>
            </w:pPr>
            <w:r>
              <w:rPr>
                <w:rFonts w:hint="eastAsia" w:ascii="仿宋" w:hAnsi="仿宋" w:eastAsia="仿宋" w:cs="仿宋"/>
                <w:sz w:val="18"/>
                <w:szCs w:val="18"/>
              </w:rPr>
              <w:t>32</w:t>
            </w:r>
          </w:p>
        </w:tc>
        <w:tc>
          <w:tcPr>
            <w:tcW w:w="521" w:type="dxa"/>
            <w:vAlign w:val="center"/>
          </w:tcPr>
          <w:p>
            <w:pPr>
              <w:pStyle w:val="10"/>
              <w:spacing w:before="29"/>
              <w:ind w:left="101" w:right="89"/>
              <w:jc w:val="center"/>
              <w:rPr>
                <w:rFonts w:hint="eastAsia" w:ascii="仿宋" w:hAnsi="仿宋" w:eastAsia="仿宋" w:cs="仿宋"/>
                <w:sz w:val="18"/>
                <w:szCs w:val="18"/>
              </w:rPr>
            </w:pPr>
            <w:r>
              <w:rPr>
                <w:rFonts w:hint="eastAsia" w:ascii="仿宋" w:hAnsi="仿宋" w:eastAsia="仿宋" w:cs="仿宋"/>
                <w:sz w:val="18"/>
                <w:szCs w:val="18"/>
              </w:rPr>
              <w:t>32</w:t>
            </w:r>
          </w:p>
        </w:tc>
        <w:tc>
          <w:tcPr>
            <w:tcW w:w="520" w:type="dxa"/>
            <w:vAlign w:val="center"/>
          </w:tcPr>
          <w:p>
            <w:pPr>
              <w:pStyle w:val="10"/>
              <w:spacing w:before="29"/>
              <w:ind w:right="154"/>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before="29"/>
              <w:ind w:left="10"/>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jc0106</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数学</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139" w:right="129"/>
              <w:jc w:val="center"/>
              <w:rPr>
                <w:rFonts w:hint="eastAsia" w:ascii="仿宋" w:hAnsi="仿宋" w:eastAsia="仿宋" w:cs="仿宋"/>
                <w:sz w:val="18"/>
                <w:szCs w:val="18"/>
              </w:rPr>
            </w:pPr>
            <w:r>
              <w:rPr>
                <w:rFonts w:hint="eastAsia" w:ascii="仿宋" w:hAnsi="仿宋" w:eastAsia="仿宋" w:cs="仿宋"/>
                <w:sz w:val="18"/>
                <w:szCs w:val="18"/>
              </w:rPr>
              <w:t>32</w:t>
            </w:r>
          </w:p>
        </w:tc>
        <w:tc>
          <w:tcPr>
            <w:tcW w:w="521" w:type="dxa"/>
            <w:vAlign w:val="center"/>
          </w:tcPr>
          <w:p>
            <w:pPr>
              <w:pStyle w:val="10"/>
              <w:spacing w:line="202" w:lineRule="exact"/>
              <w:ind w:left="101" w:right="89"/>
              <w:jc w:val="center"/>
              <w:rPr>
                <w:rFonts w:hint="eastAsia" w:ascii="仿宋" w:hAnsi="仿宋" w:eastAsia="仿宋" w:cs="仿宋"/>
                <w:sz w:val="18"/>
                <w:szCs w:val="18"/>
              </w:rPr>
            </w:pPr>
            <w:r>
              <w:rPr>
                <w:rFonts w:hint="eastAsia" w:ascii="仿宋" w:hAnsi="仿宋" w:eastAsia="仿宋" w:cs="仿宋"/>
                <w:sz w:val="18"/>
                <w:szCs w:val="18"/>
              </w:rPr>
              <w:t>32</w:t>
            </w:r>
          </w:p>
        </w:tc>
        <w:tc>
          <w:tcPr>
            <w:tcW w:w="520" w:type="dxa"/>
            <w:vAlign w:val="center"/>
          </w:tcPr>
          <w:p>
            <w:pPr>
              <w:pStyle w:val="10"/>
              <w:spacing w:line="202" w:lineRule="exact"/>
              <w:ind w:right="154"/>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10"/>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jc0107</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英语</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139" w:right="129"/>
              <w:jc w:val="center"/>
              <w:rPr>
                <w:rFonts w:hint="eastAsia" w:ascii="仿宋" w:hAnsi="仿宋" w:eastAsia="仿宋" w:cs="仿宋"/>
                <w:sz w:val="18"/>
                <w:szCs w:val="18"/>
              </w:rPr>
            </w:pPr>
            <w:r>
              <w:rPr>
                <w:rFonts w:hint="eastAsia" w:ascii="仿宋" w:hAnsi="仿宋" w:eastAsia="仿宋" w:cs="仿宋"/>
                <w:sz w:val="18"/>
                <w:szCs w:val="18"/>
              </w:rPr>
              <w:t>32</w:t>
            </w:r>
          </w:p>
        </w:tc>
        <w:tc>
          <w:tcPr>
            <w:tcW w:w="521" w:type="dxa"/>
            <w:vAlign w:val="center"/>
          </w:tcPr>
          <w:p>
            <w:pPr>
              <w:pStyle w:val="10"/>
              <w:spacing w:line="202" w:lineRule="exact"/>
              <w:ind w:left="101" w:right="89"/>
              <w:jc w:val="center"/>
              <w:rPr>
                <w:rFonts w:hint="eastAsia" w:ascii="仿宋" w:hAnsi="仿宋" w:eastAsia="仿宋" w:cs="仿宋"/>
                <w:sz w:val="18"/>
                <w:szCs w:val="18"/>
              </w:rPr>
            </w:pPr>
            <w:r>
              <w:rPr>
                <w:rFonts w:hint="eastAsia" w:ascii="仿宋" w:hAnsi="仿宋" w:eastAsia="仿宋" w:cs="仿宋"/>
                <w:sz w:val="18"/>
                <w:szCs w:val="18"/>
              </w:rPr>
              <w:t>32</w:t>
            </w:r>
          </w:p>
        </w:tc>
        <w:tc>
          <w:tcPr>
            <w:tcW w:w="520" w:type="dxa"/>
            <w:vAlign w:val="center"/>
          </w:tcPr>
          <w:p>
            <w:pPr>
              <w:pStyle w:val="10"/>
              <w:spacing w:line="202" w:lineRule="exact"/>
              <w:ind w:left="7"/>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10"/>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zjc01</w:t>
            </w:r>
            <w:r>
              <w:rPr>
                <w:rFonts w:hint="eastAsia" w:ascii="仿宋" w:hAnsi="仿宋" w:eastAsia="仿宋" w:cs="仿宋"/>
                <w:color w:val="000000"/>
                <w:kern w:val="0"/>
                <w:sz w:val="18"/>
                <w:szCs w:val="18"/>
                <w:lang w:val="en-US" w:eastAsia="zh-CN" w:bidi="ar"/>
              </w:rPr>
              <w:t>19</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bidi="ar"/>
              </w:rPr>
              <w:t>经济政治与社会</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32</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32</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jc0109</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体育</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16</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0</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16</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jc0110</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音乐</w:t>
            </w:r>
          </w:p>
        </w:tc>
        <w:tc>
          <w:tcPr>
            <w:tcW w:w="366" w:type="dxa"/>
            <w:vAlign w:val="center"/>
          </w:tcPr>
          <w:p>
            <w:pPr>
              <w:pStyle w:val="10"/>
              <w:spacing w:before="108"/>
              <w:ind w:right="123"/>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16</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16</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spacing w:line="218" w:lineRule="exact"/>
              <w:ind w:left="208" w:right="107" w:hanging="89"/>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jc0111</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计算机基础</w:t>
            </w:r>
          </w:p>
        </w:tc>
        <w:tc>
          <w:tcPr>
            <w:tcW w:w="366" w:type="dxa"/>
            <w:vAlign w:val="center"/>
          </w:tcPr>
          <w:p>
            <w:pPr>
              <w:pStyle w:val="10"/>
              <w:spacing w:before="44"/>
              <w:ind w:right="123"/>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32</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28</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qc0202</w:t>
            </w:r>
          </w:p>
        </w:tc>
        <w:tc>
          <w:tcPr>
            <w:tcW w:w="230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汽车概论</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42</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专业基础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qc020</w:t>
            </w:r>
            <w:r>
              <w:rPr>
                <w:rFonts w:hint="eastAsia" w:ascii="仿宋" w:hAnsi="仿宋" w:eastAsia="仿宋" w:cs="仿宋"/>
                <w:color w:val="000000"/>
                <w:kern w:val="0"/>
                <w:sz w:val="18"/>
                <w:szCs w:val="18"/>
                <w:lang w:val="en-US" w:eastAsia="zh-CN" w:bidi="ar"/>
              </w:rPr>
              <w:t>5</w:t>
            </w:r>
          </w:p>
        </w:tc>
        <w:tc>
          <w:tcPr>
            <w:tcW w:w="230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新能源汽车汽车电工电子</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56</w:t>
            </w:r>
          </w:p>
        </w:tc>
        <w:tc>
          <w:tcPr>
            <w:tcW w:w="718" w:type="dxa"/>
            <w:vAlign w:val="center"/>
          </w:tcPr>
          <w:p>
            <w:pPr>
              <w:pStyle w:val="10"/>
              <w:spacing w:line="202" w:lineRule="exact"/>
              <w:ind w:left="229"/>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1177" w:type="dxa"/>
            <w:vAlign w:val="center"/>
          </w:tcPr>
          <w:p>
            <w:pPr>
              <w:pStyle w:val="10"/>
              <w:spacing w:before="45"/>
              <w:ind w:right="206"/>
              <w:jc w:val="center"/>
              <w:rPr>
                <w:rFonts w:hint="eastAsia" w:ascii="仿宋" w:hAnsi="仿宋" w:eastAsia="仿宋" w:cs="仿宋"/>
                <w:sz w:val="18"/>
                <w:szCs w:val="18"/>
              </w:rPr>
            </w:pPr>
            <w:r>
              <w:rPr>
                <w:rFonts w:hint="eastAsia" w:ascii="仿宋" w:hAnsi="仿宋" w:eastAsia="仿宋" w:cs="仿宋"/>
                <w:sz w:val="18"/>
                <w:szCs w:val="18"/>
              </w:rPr>
              <w:t>专业基础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8" w:hRule="atLeast"/>
          <w:jc w:val="center"/>
        </w:trPr>
        <w:tc>
          <w:tcPr>
            <w:tcW w:w="968" w:type="dxa"/>
            <w:vMerge w:val="continue"/>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qc0204</w:t>
            </w:r>
          </w:p>
        </w:tc>
        <w:tc>
          <w:tcPr>
            <w:tcW w:w="230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汽车美容与装饰</w:t>
            </w:r>
          </w:p>
        </w:tc>
        <w:tc>
          <w:tcPr>
            <w:tcW w:w="366" w:type="dxa"/>
            <w:vAlign w:val="center"/>
          </w:tcPr>
          <w:p>
            <w:pPr>
              <w:pStyle w:val="10"/>
              <w:jc w:val="center"/>
              <w:rPr>
                <w:rFonts w:hint="eastAsia" w:ascii="仿宋" w:hAnsi="仿宋" w:eastAsia="仿宋" w:cs="仿宋"/>
                <w:sz w:val="18"/>
                <w:szCs w:val="18"/>
              </w:rPr>
            </w:pPr>
          </w:p>
        </w:tc>
        <w:tc>
          <w:tcPr>
            <w:tcW w:w="538" w:type="dxa"/>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66</w:t>
            </w:r>
          </w:p>
        </w:tc>
        <w:tc>
          <w:tcPr>
            <w:tcW w:w="718" w:type="dxa"/>
            <w:vAlign w:val="center"/>
          </w:tcPr>
          <w:p>
            <w:pPr>
              <w:pStyle w:val="10"/>
              <w:spacing w:line="202" w:lineRule="exact"/>
              <w:ind w:left="229"/>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1177" w:type="dxa"/>
            <w:vAlign w:val="center"/>
          </w:tcPr>
          <w:p>
            <w:pPr>
              <w:pStyle w:val="10"/>
              <w:spacing w:before="45"/>
              <w:ind w:right="206"/>
              <w:jc w:val="center"/>
              <w:rPr>
                <w:rFonts w:hint="eastAsia" w:ascii="仿宋" w:hAnsi="仿宋" w:eastAsia="仿宋" w:cs="仿宋"/>
                <w:sz w:val="18"/>
                <w:szCs w:val="18"/>
              </w:rPr>
            </w:pPr>
            <w:r>
              <w:rPr>
                <w:rFonts w:hint="eastAsia" w:ascii="仿宋" w:hAnsi="仿宋" w:eastAsia="仿宋" w:cs="仿宋"/>
                <w:sz w:val="18"/>
                <w:szCs w:val="18"/>
              </w:rPr>
              <w:t>专业基础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2" w:hRule="atLeast"/>
          <w:jc w:val="center"/>
        </w:trPr>
        <w:tc>
          <w:tcPr>
            <w:tcW w:w="968" w:type="dxa"/>
            <w:vMerge w:val="continue"/>
            <w:vAlign w:val="center"/>
          </w:tcPr>
          <w:p>
            <w:pPr>
              <w:jc w:val="center"/>
              <w:rPr>
                <w:rFonts w:hint="eastAsia" w:ascii="仿宋" w:hAnsi="仿宋" w:eastAsia="仿宋" w:cs="仿宋"/>
                <w:sz w:val="18"/>
                <w:szCs w:val="18"/>
              </w:rPr>
            </w:pPr>
          </w:p>
        </w:tc>
        <w:tc>
          <w:tcPr>
            <w:tcW w:w="4003" w:type="dxa"/>
            <w:gridSpan w:val="4"/>
            <w:vAlign w:val="center"/>
          </w:tcPr>
          <w:p>
            <w:pPr>
              <w:jc w:val="center"/>
              <w:rPr>
                <w:rFonts w:hint="eastAsia" w:ascii="仿宋" w:hAnsi="仿宋" w:eastAsia="仿宋" w:cs="仿宋"/>
                <w:sz w:val="18"/>
                <w:szCs w:val="18"/>
              </w:rPr>
            </w:pPr>
            <w:r>
              <w:rPr>
                <w:rFonts w:hint="eastAsia" w:ascii="仿宋" w:hAnsi="仿宋" w:eastAsia="仿宋" w:cs="仿宋"/>
                <w:sz w:val="18"/>
                <w:szCs w:val="18"/>
              </w:rPr>
              <w:t>合计</w:t>
            </w: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480</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272</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208</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1177" w:type="dxa"/>
            <w:vAlign w:val="center"/>
          </w:tcPr>
          <w:p>
            <w:pPr>
              <w:pStyle w:val="10"/>
              <w:spacing w:before="45"/>
              <w:ind w:right="206"/>
              <w:jc w:val="center"/>
              <w:rPr>
                <w:rFonts w:hint="eastAsia" w:ascii="仿宋" w:hAnsi="仿宋" w:eastAsia="仿宋" w:cs="仿宋"/>
                <w:sz w:val="18"/>
                <w:szCs w:val="18"/>
              </w:rPr>
            </w:pPr>
            <w:r>
              <w:rPr>
                <w:rFonts w:hint="eastAsia" w:ascii="仿宋" w:hAnsi="仿宋" w:eastAsia="仿宋" w:cs="仿宋"/>
                <w:sz w:val="18"/>
                <w:szCs w:val="18"/>
              </w:rPr>
              <w:fldChar w:fldCharType="begin"/>
            </w:r>
            <w:r>
              <w:rPr>
                <w:rFonts w:hint="eastAsia" w:ascii="仿宋" w:hAnsi="仿宋" w:eastAsia="仿宋" w:cs="仿宋"/>
                <w:sz w:val="18"/>
                <w:szCs w:val="18"/>
              </w:rPr>
              <w:instrText xml:space="preserve"> = sum(H3:H12) \* MERGEFORMAT </w:instrText>
            </w:r>
            <w:r>
              <w:rPr>
                <w:rFonts w:hint="eastAsia" w:ascii="仿宋" w:hAnsi="仿宋" w:eastAsia="仿宋" w:cs="仿宋"/>
                <w:sz w:val="18"/>
                <w:szCs w:val="18"/>
              </w:rPr>
              <w:fldChar w:fldCharType="separate"/>
            </w:r>
            <w:r>
              <w:rPr>
                <w:rFonts w:hint="eastAsia" w:ascii="仿宋" w:hAnsi="仿宋" w:eastAsia="仿宋" w:cs="仿宋"/>
                <w:sz w:val="18"/>
                <w:szCs w:val="18"/>
              </w:rPr>
              <w:fldChar w:fldCharType="end"/>
            </w:r>
          </w:p>
        </w:tc>
        <w:tc>
          <w:tcPr>
            <w:tcW w:w="609" w:type="dxa"/>
            <w:vAlign w:val="center"/>
          </w:tcPr>
          <w:p>
            <w:pPr>
              <w:pStyle w:val="10"/>
              <w:jc w:val="center"/>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jc w:val="center"/>
        </w:trPr>
        <w:tc>
          <w:tcPr>
            <w:tcW w:w="968" w:type="dxa"/>
            <w:vMerge w:val="restart"/>
            <w:vAlign w:val="center"/>
          </w:tcPr>
          <w:p>
            <w:pPr>
              <w:pStyle w:val="10"/>
              <w:jc w:val="center"/>
              <w:rPr>
                <w:rFonts w:hint="eastAsia" w:ascii="仿宋" w:hAnsi="仿宋" w:eastAsia="仿宋" w:cs="仿宋"/>
                <w:sz w:val="18"/>
                <w:szCs w:val="18"/>
              </w:rPr>
            </w:pPr>
          </w:p>
          <w:p>
            <w:pPr>
              <w:pStyle w:val="10"/>
              <w:spacing w:before="4"/>
              <w:jc w:val="center"/>
              <w:rPr>
                <w:rFonts w:hint="eastAsia" w:ascii="仿宋" w:hAnsi="仿宋" w:eastAsia="仿宋" w:cs="仿宋"/>
                <w:sz w:val="18"/>
                <w:szCs w:val="18"/>
              </w:rPr>
            </w:pPr>
          </w:p>
          <w:p>
            <w:pPr>
              <w:pStyle w:val="10"/>
              <w:spacing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第二学期</w:t>
            </w:r>
          </w:p>
          <w:p>
            <w:pPr>
              <w:pStyle w:val="10"/>
              <w:spacing w:line="226" w:lineRule="exact"/>
              <w:ind w:left="110"/>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wjc0105</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语文</w:t>
            </w:r>
          </w:p>
        </w:tc>
        <w:tc>
          <w:tcPr>
            <w:tcW w:w="366" w:type="dxa"/>
            <w:vAlign w:val="center"/>
          </w:tcPr>
          <w:p>
            <w:pPr>
              <w:pStyle w:val="10"/>
              <w:jc w:val="center"/>
              <w:rPr>
                <w:rFonts w:hint="eastAsia" w:ascii="仿宋" w:hAnsi="仿宋" w:eastAsia="仿宋" w:cs="仿宋"/>
                <w:sz w:val="18"/>
                <w:szCs w:val="18"/>
              </w:rPr>
            </w:pPr>
          </w:p>
        </w:tc>
        <w:tc>
          <w:tcPr>
            <w:tcW w:w="538" w:type="dxa"/>
            <w:vMerge w:val="restart"/>
            <w:vAlign w:val="center"/>
          </w:tcPr>
          <w:p>
            <w:pPr>
              <w:pStyle w:val="10"/>
              <w:jc w:val="center"/>
              <w:rPr>
                <w:rFonts w:hint="eastAsia" w:ascii="仿宋" w:hAnsi="仿宋" w:eastAsia="仿宋" w:cs="仿宋"/>
                <w:sz w:val="18"/>
                <w:szCs w:val="18"/>
              </w:rPr>
            </w:pPr>
          </w:p>
          <w:p>
            <w:pPr>
              <w:pStyle w:val="10"/>
              <w:jc w:val="center"/>
              <w:rPr>
                <w:rFonts w:hint="eastAsia" w:ascii="仿宋" w:hAnsi="仿宋" w:eastAsia="仿宋" w:cs="仿宋"/>
                <w:sz w:val="18"/>
                <w:szCs w:val="18"/>
              </w:rPr>
            </w:pPr>
          </w:p>
          <w:p>
            <w:pPr>
              <w:pStyle w:val="10"/>
              <w:jc w:val="center"/>
              <w:rPr>
                <w:rFonts w:hint="eastAsia" w:ascii="仿宋" w:hAnsi="仿宋" w:eastAsia="仿宋" w:cs="仿宋"/>
                <w:sz w:val="18"/>
                <w:szCs w:val="18"/>
              </w:rPr>
            </w:pPr>
          </w:p>
          <w:p>
            <w:pPr>
              <w:pStyle w:val="10"/>
              <w:spacing w:before="11"/>
              <w:jc w:val="center"/>
              <w:rPr>
                <w:rFonts w:hint="eastAsia" w:ascii="仿宋" w:hAnsi="仿宋" w:eastAsia="仿宋" w:cs="仿宋"/>
                <w:sz w:val="18"/>
                <w:szCs w:val="18"/>
              </w:rPr>
            </w:pPr>
          </w:p>
          <w:p>
            <w:pPr>
              <w:pStyle w:val="10"/>
              <w:spacing w:line="230" w:lineRule="auto"/>
              <w:ind w:left="173" w:right="163"/>
              <w:jc w:val="center"/>
              <w:rPr>
                <w:rFonts w:hint="eastAsia" w:ascii="仿宋" w:hAnsi="仿宋" w:eastAsia="仿宋" w:cs="仿宋"/>
                <w:sz w:val="18"/>
                <w:szCs w:val="18"/>
              </w:rPr>
            </w:pPr>
            <w:r>
              <w:rPr>
                <w:rFonts w:hint="eastAsia" w:ascii="仿宋" w:hAnsi="仿宋" w:eastAsia="仿宋" w:cs="仿宋"/>
                <w:sz w:val="18"/>
                <w:szCs w:val="18"/>
              </w:rPr>
              <w:t>必修</w:t>
            </w: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wjc0106</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数学</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wjc0107</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英语</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bidi="ar"/>
              </w:rPr>
              <w:t>zjc01</w:t>
            </w:r>
            <w:r>
              <w:rPr>
                <w:rFonts w:hint="eastAsia" w:ascii="仿宋" w:hAnsi="仿宋" w:eastAsia="仿宋" w:cs="仿宋"/>
                <w:color w:val="000000"/>
                <w:kern w:val="0"/>
                <w:sz w:val="18"/>
                <w:szCs w:val="18"/>
                <w:lang w:val="en-US" w:eastAsia="zh-CN" w:bidi="ar"/>
              </w:rPr>
              <w:t>20</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职业生涯与规划</w:t>
            </w:r>
          </w:p>
        </w:tc>
        <w:tc>
          <w:tcPr>
            <w:tcW w:w="366" w:type="dxa"/>
            <w:vAlign w:val="center"/>
          </w:tcPr>
          <w:p>
            <w:pPr>
              <w:pStyle w:val="10"/>
              <w:spacing w:line="202" w:lineRule="exact"/>
              <w:ind w:right="123"/>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2</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1" w:type="dxa"/>
            <w:vAlign w:val="center"/>
          </w:tcPr>
          <w:p>
            <w:pPr>
              <w:pStyle w:val="10"/>
              <w:spacing w:line="202" w:lineRule="exact"/>
              <w:ind w:left="101" w:right="89"/>
              <w:jc w:val="center"/>
              <w:rPr>
                <w:rFonts w:hint="eastAsia" w:ascii="仿宋" w:hAnsi="仿宋" w:eastAsia="仿宋" w:cs="仿宋"/>
                <w:sz w:val="18"/>
                <w:szCs w:val="18"/>
              </w:rPr>
            </w:pPr>
            <w:r>
              <w:rPr>
                <w:rFonts w:hint="eastAsia" w:ascii="仿宋" w:hAnsi="仿宋" w:eastAsia="仿宋" w:cs="仿宋"/>
                <w:sz w:val="18"/>
                <w:szCs w:val="18"/>
              </w:rPr>
              <w:t>36</w:t>
            </w:r>
          </w:p>
        </w:tc>
        <w:tc>
          <w:tcPr>
            <w:tcW w:w="520" w:type="dxa"/>
            <w:vAlign w:val="center"/>
          </w:tcPr>
          <w:p>
            <w:pPr>
              <w:pStyle w:val="10"/>
              <w:spacing w:line="202" w:lineRule="exact"/>
              <w:ind w:right="154"/>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2" w:lineRule="exact"/>
              <w:ind w:left="10"/>
              <w:jc w:val="center"/>
              <w:rPr>
                <w:rFonts w:hint="eastAsia" w:ascii="仿宋" w:hAnsi="仿宋" w:eastAsia="仿宋" w:cs="仿宋"/>
                <w:sz w:val="18"/>
                <w:szCs w:val="18"/>
              </w:rPr>
            </w:pPr>
            <w:r>
              <w:rPr>
                <w:rFonts w:hint="eastAsia" w:ascii="仿宋" w:hAnsi="仿宋" w:eastAsia="仿宋" w:cs="仿宋"/>
                <w:sz w:val="18"/>
                <w:szCs w:val="18"/>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wjc0109</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体育</w:t>
            </w:r>
          </w:p>
        </w:tc>
        <w:tc>
          <w:tcPr>
            <w:tcW w:w="366" w:type="dxa"/>
            <w:vAlign w:val="center"/>
          </w:tcPr>
          <w:p>
            <w:pPr>
              <w:pStyle w:val="10"/>
              <w:spacing w:line="202" w:lineRule="exact"/>
              <w:ind w:right="123"/>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18</w:t>
            </w:r>
          </w:p>
        </w:tc>
        <w:tc>
          <w:tcPr>
            <w:tcW w:w="521" w:type="dxa"/>
            <w:vAlign w:val="center"/>
          </w:tcPr>
          <w:p>
            <w:pPr>
              <w:pStyle w:val="10"/>
              <w:spacing w:line="202" w:lineRule="exact"/>
              <w:ind w:left="101" w:right="89"/>
              <w:jc w:val="center"/>
              <w:rPr>
                <w:rFonts w:hint="eastAsia" w:ascii="仿宋" w:hAnsi="仿宋" w:eastAsia="仿宋" w:cs="仿宋"/>
                <w:sz w:val="18"/>
                <w:szCs w:val="18"/>
              </w:rPr>
            </w:pPr>
            <w:r>
              <w:rPr>
                <w:rFonts w:hint="eastAsia" w:ascii="仿宋" w:hAnsi="仿宋" w:eastAsia="仿宋" w:cs="仿宋"/>
                <w:sz w:val="18"/>
                <w:szCs w:val="18"/>
              </w:rPr>
              <w:t>0</w:t>
            </w:r>
          </w:p>
        </w:tc>
        <w:tc>
          <w:tcPr>
            <w:tcW w:w="520" w:type="dxa"/>
            <w:vAlign w:val="center"/>
          </w:tcPr>
          <w:p>
            <w:pPr>
              <w:pStyle w:val="10"/>
              <w:spacing w:line="202" w:lineRule="exact"/>
              <w:ind w:right="154"/>
              <w:jc w:val="center"/>
              <w:rPr>
                <w:rFonts w:hint="eastAsia" w:ascii="仿宋" w:hAnsi="仿宋" w:eastAsia="仿宋" w:cs="仿宋"/>
                <w:sz w:val="18"/>
                <w:szCs w:val="18"/>
              </w:rPr>
            </w:pPr>
            <w:r>
              <w:rPr>
                <w:rFonts w:hint="eastAsia" w:ascii="仿宋" w:hAnsi="仿宋" w:eastAsia="仿宋" w:cs="仿宋"/>
                <w:sz w:val="18"/>
                <w:szCs w:val="18"/>
              </w:rPr>
              <w:t>18</w:t>
            </w:r>
          </w:p>
        </w:tc>
        <w:tc>
          <w:tcPr>
            <w:tcW w:w="718" w:type="dxa"/>
            <w:vAlign w:val="center"/>
          </w:tcPr>
          <w:p>
            <w:pPr>
              <w:pStyle w:val="10"/>
              <w:spacing w:line="202" w:lineRule="exact"/>
              <w:ind w:left="10"/>
              <w:jc w:val="center"/>
              <w:rPr>
                <w:rFonts w:hint="eastAsia" w:ascii="仿宋" w:hAnsi="仿宋" w:eastAsia="仿宋" w:cs="仿宋"/>
                <w:sz w:val="18"/>
                <w:szCs w:val="18"/>
              </w:rPr>
            </w:pPr>
            <w:r>
              <w:rPr>
                <w:rFonts w:hint="eastAsia" w:ascii="仿宋" w:hAnsi="仿宋" w:eastAsia="仿宋" w:cs="仿宋"/>
                <w:sz w:val="18"/>
                <w:szCs w:val="18"/>
              </w:rPr>
              <w:t>1</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color w:val="000000"/>
                <w:kern w:val="0"/>
                <w:sz w:val="18"/>
                <w:szCs w:val="18"/>
                <w:lang w:eastAsia="zh-CN" w:bidi="ar"/>
              </w:rPr>
            </w:pPr>
            <w:r>
              <w:rPr>
                <w:rFonts w:hint="eastAsia" w:ascii="仿宋" w:hAnsi="仿宋" w:eastAsia="仿宋" w:cs="仿宋"/>
                <w:color w:val="000000"/>
                <w:kern w:val="0"/>
                <w:sz w:val="18"/>
                <w:szCs w:val="18"/>
                <w:lang w:eastAsia="zh-CN" w:bidi="ar"/>
              </w:rPr>
              <w:t>wjc0110</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音乐</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0" w:lineRule="exact"/>
              <w:ind w:left="229"/>
              <w:jc w:val="center"/>
              <w:rPr>
                <w:rFonts w:hint="eastAsia" w:ascii="仿宋" w:hAnsi="仿宋" w:eastAsia="仿宋" w:cs="仿宋"/>
                <w:sz w:val="18"/>
                <w:szCs w:val="18"/>
              </w:rPr>
            </w:pPr>
            <w:r>
              <w:rPr>
                <w:rFonts w:hint="eastAsia" w:ascii="仿宋" w:hAnsi="仿宋" w:eastAsia="仿宋" w:cs="仿宋"/>
                <w:sz w:val="18"/>
                <w:szCs w:val="18"/>
              </w:rPr>
              <w:t>1</w:t>
            </w:r>
          </w:p>
        </w:tc>
        <w:tc>
          <w:tcPr>
            <w:tcW w:w="601" w:type="dxa"/>
            <w:vAlign w:val="center"/>
          </w:tcPr>
          <w:p>
            <w:pPr>
              <w:pStyle w:val="10"/>
              <w:spacing w:line="200" w:lineRule="exact"/>
              <w:ind w:left="229"/>
              <w:jc w:val="center"/>
              <w:rPr>
                <w:rFonts w:hint="eastAsia" w:ascii="仿宋" w:hAnsi="仿宋" w:eastAsia="仿宋" w:cs="仿宋"/>
                <w:sz w:val="18"/>
                <w:szCs w:val="18"/>
              </w:rPr>
            </w:pPr>
            <w:r>
              <w:rPr>
                <w:rFonts w:hint="eastAsia" w:ascii="仿宋" w:hAnsi="仿宋" w:eastAsia="仿宋" w:cs="仿宋"/>
                <w:sz w:val="18"/>
                <w:szCs w:val="18"/>
              </w:rPr>
              <w:t>18</w:t>
            </w:r>
          </w:p>
        </w:tc>
        <w:tc>
          <w:tcPr>
            <w:tcW w:w="521" w:type="dxa"/>
            <w:vAlign w:val="center"/>
          </w:tcPr>
          <w:p>
            <w:pPr>
              <w:pStyle w:val="10"/>
              <w:spacing w:line="200" w:lineRule="exact"/>
              <w:ind w:left="101" w:right="89"/>
              <w:jc w:val="center"/>
              <w:rPr>
                <w:rFonts w:hint="eastAsia" w:ascii="仿宋" w:hAnsi="仿宋" w:eastAsia="仿宋" w:cs="仿宋"/>
                <w:sz w:val="18"/>
                <w:szCs w:val="18"/>
              </w:rPr>
            </w:pPr>
            <w:r>
              <w:rPr>
                <w:rFonts w:hint="eastAsia" w:ascii="仿宋" w:hAnsi="仿宋" w:eastAsia="仿宋" w:cs="仿宋"/>
                <w:sz w:val="18"/>
                <w:szCs w:val="18"/>
              </w:rPr>
              <w:t>18</w:t>
            </w:r>
          </w:p>
        </w:tc>
        <w:tc>
          <w:tcPr>
            <w:tcW w:w="520" w:type="dxa"/>
            <w:vAlign w:val="center"/>
          </w:tcPr>
          <w:p>
            <w:pPr>
              <w:pStyle w:val="10"/>
              <w:spacing w:line="200" w:lineRule="exact"/>
              <w:ind w:right="154"/>
              <w:jc w:val="center"/>
              <w:rPr>
                <w:rFonts w:hint="eastAsia" w:ascii="仿宋" w:hAnsi="仿宋" w:eastAsia="仿宋" w:cs="仿宋"/>
                <w:sz w:val="18"/>
                <w:szCs w:val="18"/>
              </w:rPr>
            </w:pPr>
            <w:r>
              <w:rPr>
                <w:rFonts w:hint="eastAsia" w:ascii="仿宋" w:hAnsi="仿宋" w:eastAsia="仿宋" w:cs="仿宋"/>
                <w:sz w:val="18"/>
                <w:szCs w:val="18"/>
              </w:rPr>
              <w:t>0</w:t>
            </w:r>
          </w:p>
        </w:tc>
        <w:tc>
          <w:tcPr>
            <w:tcW w:w="718" w:type="dxa"/>
            <w:vAlign w:val="center"/>
          </w:tcPr>
          <w:p>
            <w:pPr>
              <w:pStyle w:val="10"/>
              <w:spacing w:line="200" w:lineRule="exact"/>
              <w:ind w:left="10"/>
              <w:jc w:val="center"/>
              <w:rPr>
                <w:rFonts w:hint="eastAsia" w:ascii="仿宋" w:hAnsi="仿宋" w:eastAsia="仿宋" w:cs="仿宋"/>
                <w:sz w:val="18"/>
                <w:szCs w:val="18"/>
              </w:rPr>
            </w:pPr>
            <w:r>
              <w:rPr>
                <w:rFonts w:hint="eastAsia" w:ascii="仿宋" w:hAnsi="仿宋" w:eastAsia="仿宋" w:cs="仿宋"/>
                <w:sz w:val="18"/>
                <w:szCs w:val="18"/>
              </w:rPr>
              <w:t>1</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7"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qc0301</w:t>
            </w:r>
          </w:p>
        </w:tc>
        <w:tc>
          <w:tcPr>
            <w:tcW w:w="2303" w:type="dxa"/>
            <w:shd w:val="clear" w:color="auto" w:fill="auto"/>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发动机构造与维修</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21" w:type="dxa"/>
            <w:vAlign w:val="center"/>
          </w:tcPr>
          <w:p>
            <w:pPr>
              <w:pStyle w:val="10"/>
              <w:spacing w:line="202" w:lineRule="exact"/>
              <w:ind w:left="101" w:right="8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520" w:type="dxa"/>
            <w:vAlign w:val="center"/>
          </w:tcPr>
          <w:p>
            <w:pPr>
              <w:pStyle w:val="10"/>
              <w:spacing w:line="202" w:lineRule="exact"/>
              <w:ind w:right="154"/>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718" w:type="dxa"/>
            <w:vAlign w:val="center"/>
          </w:tcPr>
          <w:p>
            <w:pPr>
              <w:pStyle w:val="10"/>
              <w:spacing w:line="202" w:lineRule="exact"/>
              <w:ind w:left="184" w:right="176"/>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1177" w:type="dxa"/>
            <w:vAlign w:val="center"/>
          </w:tcPr>
          <w:p>
            <w:pPr>
              <w:pStyle w:val="10"/>
              <w:spacing w:before="45"/>
              <w:ind w:right="206"/>
              <w:jc w:val="center"/>
              <w:rPr>
                <w:rFonts w:hint="eastAsia" w:ascii="仿宋" w:hAnsi="仿宋" w:eastAsia="仿宋" w:cs="仿宋"/>
                <w:sz w:val="18"/>
                <w:szCs w:val="18"/>
              </w:rPr>
            </w:pPr>
            <w:r>
              <w:rPr>
                <w:rFonts w:hint="eastAsia" w:ascii="仿宋" w:hAnsi="仿宋" w:eastAsia="仿宋" w:cs="仿宋"/>
                <w:sz w:val="18"/>
                <w:szCs w:val="18"/>
              </w:rPr>
              <w:t>专业基础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qc0203</w:t>
            </w:r>
          </w:p>
        </w:tc>
        <w:tc>
          <w:tcPr>
            <w:tcW w:w="230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汽车维护保养</w:t>
            </w:r>
          </w:p>
        </w:tc>
        <w:tc>
          <w:tcPr>
            <w:tcW w:w="366" w:type="dxa"/>
            <w:vAlign w:val="center"/>
          </w:tcPr>
          <w:p>
            <w:pPr>
              <w:pStyle w:val="10"/>
              <w:spacing w:before="106"/>
              <w:ind w:right="123"/>
              <w:jc w:val="center"/>
              <w:rPr>
                <w:rFonts w:hint="eastAsia" w:ascii="仿宋" w:hAnsi="仿宋" w:eastAsia="仿宋" w:cs="仿宋"/>
                <w:sz w:val="18"/>
                <w:szCs w:val="18"/>
              </w:rPr>
            </w:pP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4</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72</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4</w:t>
            </w:r>
          </w:p>
        </w:tc>
        <w:tc>
          <w:tcPr>
            <w:tcW w:w="1177" w:type="dxa"/>
            <w:vAlign w:val="center"/>
          </w:tcPr>
          <w:p>
            <w:pPr>
              <w:pStyle w:val="10"/>
              <w:spacing w:before="45"/>
              <w:ind w:right="206"/>
              <w:jc w:val="center"/>
              <w:rPr>
                <w:rFonts w:hint="eastAsia" w:ascii="仿宋" w:hAnsi="仿宋" w:eastAsia="仿宋" w:cs="仿宋"/>
                <w:sz w:val="18"/>
                <w:szCs w:val="18"/>
              </w:rPr>
            </w:pPr>
            <w:r>
              <w:rPr>
                <w:rFonts w:hint="eastAsia" w:ascii="仿宋" w:hAnsi="仿宋" w:eastAsia="仿宋" w:cs="仿宋"/>
                <w:sz w:val="18"/>
                <w:szCs w:val="18"/>
              </w:rPr>
              <w:t>专业基础</w:t>
            </w:r>
          </w:p>
        </w:tc>
        <w:tc>
          <w:tcPr>
            <w:tcW w:w="609" w:type="dxa"/>
            <w:vAlign w:val="center"/>
          </w:tcPr>
          <w:p>
            <w:pPr>
              <w:pStyle w:val="10"/>
              <w:spacing w:line="198" w:lineRule="exact"/>
              <w:ind w:left="7"/>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qc0307</w:t>
            </w:r>
          </w:p>
        </w:tc>
        <w:tc>
          <w:tcPr>
            <w:tcW w:w="230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新能源汽车构造</w:t>
            </w:r>
          </w:p>
        </w:tc>
        <w:tc>
          <w:tcPr>
            <w:tcW w:w="366" w:type="dxa"/>
            <w:vAlign w:val="center"/>
          </w:tcPr>
          <w:p>
            <w:pPr>
              <w:pStyle w:val="10"/>
              <w:spacing w:before="108"/>
              <w:ind w:right="123"/>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4</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72</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36</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4</w:t>
            </w:r>
          </w:p>
        </w:tc>
        <w:tc>
          <w:tcPr>
            <w:tcW w:w="1177" w:type="dxa"/>
            <w:vAlign w:val="center"/>
          </w:tcPr>
          <w:p>
            <w:pPr>
              <w:pStyle w:val="10"/>
              <w:spacing w:before="108"/>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spacing w:line="218" w:lineRule="exact"/>
              <w:ind w:left="208" w:right="107" w:hanging="89"/>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Align w:val="center"/>
          </w:tcPr>
          <w:p>
            <w:pPr>
              <w:widowControl/>
              <w:spacing w:line="240" w:lineRule="auto"/>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color w:val="000000"/>
                <w:kern w:val="0"/>
                <w:sz w:val="18"/>
                <w:szCs w:val="18"/>
                <w:lang w:bidi="ar"/>
              </w:rPr>
              <w:t>zqc0302</w:t>
            </w:r>
          </w:p>
        </w:tc>
        <w:tc>
          <w:tcPr>
            <w:tcW w:w="230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底盘构造与维修</w:t>
            </w:r>
          </w:p>
        </w:tc>
        <w:tc>
          <w:tcPr>
            <w:tcW w:w="366" w:type="dxa"/>
            <w:vAlign w:val="center"/>
          </w:tcPr>
          <w:p>
            <w:pPr>
              <w:pStyle w:val="10"/>
              <w:spacing w:line="202" w:lineRule="exact"/>
              <w:ind w:right="123"/>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tcBorders>
              <w:top w:val="nil"/>
            </w:tcBorders>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108</w:t>
            </w:r>
          </w:p>
        </w:tc>
        <w:tc>
          <w:tcPr>
            <w:tcW w:w="52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54</w:t>
            </w:r>
          </w:p>
        </w:tc>
        <w:tc>
          <w:tcPr>
            <w:tcW w:w="520"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54</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rPr>
              <w:t>6</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1" w:hRule="atLeast"/>
          <w:jc w:val="center"/>
        </w:trPr>
        <w:tc>
          <w:tcPr>
            <w:tcW w:w="968" w:type="dxa"/>
            <w:tcBorders>
              <w:top w:val="nil"/>
            </w:tcBorders>
            <w:vAlign w:val="center"/>
          </w:tcPr>
          <w:p>
            <w:pPr>
              <w:jc w:val="center"/>
              <w:rPr>
                <w:rFonts w:hint="eastAsia" w:ascii="仿宋" w:hAnsi="仿宋" w:eastAsia="仿宋" w:cs="仿宋"/>
                <w:sz w:val="18"/>
                <w:szCs w:val="18"/>
              </w:rPr>
            </w:pPr>
          </w:p>
        </w:tc>
        <w:tc>
          <w:tcPr>
            <w:tcW w:w="4003" w:type="dxa"/>
            <w:gridSpan w:val="4"/>
            <w:vAlign w:val="center"/>
          </w:tcPr>
          <w:p>
            <w:pPr>
              <w:jc w:val="center"/>
              <w:rPr>
                <w:rFonts w:hint="eastAsia" w:ascii="仿宋" w:hAnsi="仿宋" w:eastAsia="仿宋" w:cs="仿宋"/>
                <w:sz w:val="18"/>
                <w:szCs w:val="18"/>
              </w:rPr>
            </w:pPr>
            <w:r>
              <w:rPr>
                <w:rFonts w:hint="eastAsia" w:ascii="仿宋" w:hAnsi="仿宋" w:eastAsia="仿宋" w:cs="仿宋"/>
                <w:sz w:val="18"/>
                <w:szCs w:val="18"/>
              </w:rPr>
              <w:t>合计</w:t>
            </w:r>
          </w:p>
        </w:tc>
        <w:tc>
          <w:tcPr>
            <w:tcW w:w="563"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lang w:val="en-US" w:eastAsia="zh-CN"/>
              </w:rPr>
              <w:t>30</w:t>
            </w:r>
          </w:p>
        </w:tc>
        <w:tc>
          <w:tcPr>
            <w:tcW w:w="601"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lang w:val="en-US" w:eastAsia="zh-CN"/>
              </w:rPr>
              <w:t>540</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342</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198</w:t>
            </w:r>
          </w:p>
        </w:tc>
        <w:tc>
          <w:tcPr>
            <w:tcW w:w="718" w:type="dxa"/>
            <w:vAlign w:val="center"/>
          </w:tcPr>
          <w:p>
            <w:pPr>
              <w:pStyle w:val="10"/>
              <w:spacing w:line="202" w:lineRule="exact"/>
              <w:ind w:left="229"/>
              <w:jc w:val="center"/>
              <w:rPr>
                <w:rFonts w:hint="eastAsia" w:ascii="仿宋" w:hAnsi="仿宋" w:eastAsia="仿宋" w:cs="仿宋"/>
                <w:sz w:val="18"/>
                <w:szCs w:val="18"/>
              </w:rPr>
            </w:pPr>
            <w:r>
              <w:rPr>
                <w:rFonts w:hint="eastAsia" w:ascii="仿宋" w:hAnsi="仿宋" w:eastAsia="仿宋" w:cs="仿宋"/>
                <w:sz w:val="18"/>
                <w:szCs w:val="18"/>
                <w:lang w:val="en-US" w:eastAsia="zh-CN"/>
              </w:rPr>
              <w:t>30</w:t>
            </w:r>
          </w:p>
        </w:tc>
        <w:tc>
          <w:tcPr>
            <w:tcW w:w="1177" w:type="dxa"/>
            <w:vAlign w:val="center"/>
          </w:tcPr>
          <w:p>
            <w:pPr>
              <w:pStyle w:val="10"/>
              <w:spacing w:line="202" w:lineRule="exact"/>
              <w:ind w:right="206"/>
              <w:jc w:val="center"/>
              <w:rPr>
                <w:rFonts w:hint="eastAsia" w:ascii="仿宋" w:hAnsi="仿宋" w:eastAsia="仿宋" w:cs="仿宋"/>
                <w:sz w:val="18"/>
                <w:szCs w:val="18"/>
              </w:rPr>
            </w:pPr>
          </w:p>
        </w:tc>
        <w:tc>
          <w:tcPr>
            <w:tcW w:w="609" w:type="dxa"/>
            <w:vAlign w:val="center"/>
          </w:tcPr>
          <w:p>
            <w:pPr>
              <w:pStyle w:val="10"/>
              <w:jc w:val="center"/>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restart"/>
            <w:vAlign w:val="center"/>
          </w:tcPr>
          <w:p>
            <w:pPr>
              <w:pStyle w:val="10"/>
              <w:spacing w:before="11"/>
              <w:jc w:val="center"/>
              <w:rPr>
                <w:rFonts w:hint="eastAsia" w:ascii="仿宋" w:hAnsi="仿宋" w:eastAsia="仿宋" w:cs="仿宋"/>
                <w:sz w:val="18"/>
                <w:szCs w:val="18"/>
              </w:rPr>
            </w:pPr>
          </w:p>
          <w:p>
            <w:pPr>
              <w:pStyle w:val="10"/>
              <w:spacing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第三学期</w:t>
            </w:r>
          </w:p>
          <w:p>
            <w:pPr>
              <w:pStyle w:val="10"/>
              <w:spacing w:line="226" w:lineRule="exact"/>
              <w:ind w:left="110"/>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jc0105</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语文</w:t>
            </w:r>
          </w:p>
        </w:tc>
        <w:tc>
          <w:tcPr>
            <w:tcW w:w="366" w:type="dxa"/>
            <w:vAlign w:val="center"/>
          </w:tcPr>
          <w:p>
            <w:pPr>
              <w:pStyle w:val="10"/>
              <w:jc w:val="center"/>
              <w:rPr>
                <w:rFonts w:hint="eastAsia" w:ascii="仿宋" w:hAnsi="仿宋" w:eastAsia="仿宋" w:cs="仿宋"/>
                <w:sz w:val="18"/>
                <w:szCs w:val="18"/>
              </w:rPr>
            </w:pPr>
          </w:p>
        </w:tc>
        <w:tc>
          <w:tcPr>
            <w:tcW w:w="538" w:type="dxa"/>
            <w:vMerge w:val="restart"/>
            <w:vAlign w:val="center"/>
          </w:tcPr>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right="163"/>
              <w:jc w:val="center"/>
              <w:rPr>
                <w:rFonts w:hint="eastAsia" w:ascii="仿宋" w:hAnsi="仿宋" w:eastAsia="仿宋" w:cs="仿宋"/>
                <w:sz w:val="18"/>
                <w:szCs w:val="18"/>
              </w:rPr>
            </w:pPr>
            <w:r>
              <w:rPr>
                <w:rFonts w:hint="eastAsia" w:ascii="仿宋" w:hAnsi="仿宋" w:eastAsia="仿宋" w:cs="仿宋"/>
                <w:sz w:val="18"/>
                <w:szCs w:val="18"/>
              </w:rPr>
              <w:t>必修</w:t>
            </w: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jc0106</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数学</w:t>
            </w:r>
          </w:p>
        </w:tc>
        <w:tc>
          <w:tcPr>
            <w:tcW w:w="366" w:type="dxa"/>
            <w:vAlign w:val="center"/>
          </w:tcPr>
          <w:p>
            <w:pPr>
              <w:pStyle w:val="10"/>
              <w:jc w:val="center"/>
              <w:rPr>
                <w:rFonts w:hint="eastAsia" w:ascii="仿宋" w:hAnsi="仿宋" w:eastAsia="仿宋" w:cs="仿宋"/>
                <w:sz w:val="18"/>
                <w:szCs w:val="18"/>
              </w:rPr>
            </w:pP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jc0107</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英语</w:t>
            </w:r>
          </w:p>
        </w:tc>
        <w:tc>
          <w:tcPr>
            <w:tcW w:w="366" w:type="dxa"/>
            <w:vAlign w:val="center"/>
          </w:tcPr>
          <w:p>
            <w:pPr>
              <w:pStyle w:val="10"/>
              <w:spacing w:line="202" w:lineRule="exact"/>
              <w:ind w:right="123"/>
              <w:jc w:val="center"/>
              <w:rPr>
                <w:rFonts w:hint="eastAsia" w:ascii="仿宋" w:hAnsi="仿宋" w:eastAsia="仿宋" w:cs="仿宋"/>
                <w:sz w:val="18"/>
                <w:szCs w:val="18"/>
              </w:rPr>
            </w:pP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zjc01</w:t>
            </w:r>
            <w:r>
              <w:rPr>
                <w:rFonts w:hint="eastAsia" w:ascii="仿宋" w:hAnsi="仿宋" w:eastAsia="仿宋" w:cs="仿宋"/>
                <w:color w:val="000000"/>
                <w:kern w:val="0"/>
                <w:sz w:val="18"/>
                <w:szCs w:val="18"/>
                <w:lang w:val="en-US" w:eastAsia="zh-CN" w:bidi="ar"/>
              </w:rPr>
              <w:t>21</w:t>
            </w:r>
          </w:p>
        </w:tc>
        <w:tc>
          <w:tcPr>
            <w:tcW w:w="230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哲学与人生</w:t>
            </w:r>
          </w:p>
        </w:tc>
        <w:tc>
          <w:tcPr>
            <w:tcW w:w="366" w:type="dxa"/>
            <w:vAlign w:val="center"/>
          </w:tcPr>
          <w:p>
            <w:pPr>
              <w:pStyle w:val="10"/>
              <w:jc w:val="center"/>
              <w:rPr>
                <w:rFonts w:hint="eastAsia" w:ascii="仿宋" w:hAnsi="仿宋" w:eastAsia="仿宋" w:cs="仿宋"/>
                <w:sz w:val="18"/>
                <w:szCs w:val="18"/>
              </w:rPr>
            </w:pP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Align w:val="center"/>
          </w:tcPr>
          <w:p>
            <w:pPr>
              <w:widowControl/>
              <w:spacing w:line="240" w:lineRule="auto"/>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qc0308</w:t>
            </w:r>
          </w:p>
        </w:tc>
        <w:tc>
          <w:tcPr>
            <w:tcW w:w="230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0"/>
                <w:sz w:val="18"/>
                <w:szCs w:val="18"/>
              </w:rPr>
              <w:t>新能源汽车维护</w:t>
            </w:r>
          </w:p>
        </w:tc>
        <w:tc>
          <w:tcPr>
            <w:tcW w:w="366" w:type="dxa"/>
            <w:vAlign w:val="center"/>
          </w:tcPr>
          <w:p>
            <w:pPr>
              <w:pStyle w:val="10"/>
              <w:spacing w:line="202" w:lineRule="exact"/>
              <w:ind w:right="123"/>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58</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before="108"/>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1"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qc0309</w:t>
            </w:r>
          </w:p>
        </w:tc>
        <w:tc>
          <w:tcPr>
            <w:tcW w:w="230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纯电动汽车</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58</w:t>
            </w:r>
          </w:p>
        </w:tc>
        <w:tc>
          <w:tcPr>
            <w:tcW w:w="718" w:type="dxa"/>
            <w:tcBorders>
              <w:top w:val="nil"/>
            </w:tcBorders>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qc0304</w:t>
            </w:r>
          </w:p>
        </w:tc>
        <w:tc>
          <w:tcPr>
            <w:tcW w:w="230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汽车电气设备与维修</w:t>
            </w:r>
          </w:p>
        </w:tc>
        <w:tc>
          <w:tcPr>
            <w:tcW w:w="366" w:type="dxa"/>
            <w:vAlign w:val="center"/>
          </w:tcPr>
          <w:p>
            <w:pPr>
              <w:pStyle w:val="10"/>
              <w:spacing w:before="107"/>
              <w:ind w:right="123"/>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58</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before="108"/>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spacing w:line="198" w:lineRule="exact"/>
              <w:ind w:left="7"/>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jc w:val="center"/>
        </w:trPr>
        <w:tc>
          <w:tcPr>
            <w:tcW w:w="968" w:type="dxa"/>
            <w:vMerge w:val="continue"/>
            <w:tcBorders>
              <w:top w:val="nil"/>
            </w:tcBorders>
            <w:vAlign w:val="center"/>
          </w:tcPr>
          <w:p>
            <w:pPr>
              <w:jc w:val="center"/>
              <w:rPr>
                <w:rFonts w:hint="eastAsia" w:ascii="仿宋" w:hAnsi="仿宋" w:eastAsia="仿宋" w:cs="仿宋"/>
                <w:sz w:val="18"/>
                <w:szCs w:val="18"/>
              </w:rPr>
            </w:pPr>
          </w:p>
        </w:tc>
        <w:tc>
          <w:tcPr>
            <w:tcW w:w="796" w:type="dxa"/>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w</w:t>
            </w:r>
            <w:r>
              <w:rPr>
                <w:rFonts w:hint="eastAsia" w:ascii="仿宋" w:hAnsi="仿宋" w:eastAsia="仿宋" w:cs="仿宋"/>
                <w:color w:val="000000"/>
                <w:kern w:val="0"/>
                <w:sz w:val="18"/>
                <w:szCs w:val="18"/>
                <w:lang w:bidi="ar"/>
              </w:rPr>
              <w:t>qc0303</w:t>
            </w:r>
          </w:p>
        </w:tc>
        <w:tc>
          <w:tcPr>
            <w:tcW w:w="230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电控发动机</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pStyle w:val="10"/>
              <w:spacing w:line="220"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41" w:hRule="atLeast"/>
          <w:jc w:val="center"/>
        </w:trPr>
        <w:tc>
          <w:tcPr>
            <w:tcW w:w="968" w:type="dxa"/>
            <w:tcBorders>
              <w:top w:val="nil"/>
            </w:tcBorders>
            <w:vAlign w:val="center"/>
          </w:tcPr>
          <w:p>
            <w:pPr>
              <w:jc w:val="center"/>
              <w:rPr>
                <w:rFonts w:hint="eastAsia" w:ascii="仿宋" w:hAnsi="仿宋" w:eastAsia="仿宋" w:cs="仿宋"/>
                <w:sz w:val="18"/>
                <w:szCs w:val="18"/>
              </w:rPr>
            </w:pPr>
          </w:p>
        </w:tc>
        <w:tc>
          <w:tcPr>
            <w:tcW w:w="4003" w:type="dxa"/>
            <w:gridSpan w:val="4"/>
            <w:vAlign w:val="center"/>
          </w:tcPr>
          <w:p>
            <w:pPr>
              <w:pStyle w:val="10"/>
              <w:spacing w:line="220" w:lineRule="exact"/>
              <w:ind w:left="173" w:right="163"/>
              <w:jc w:val="center"/>
              <w:rPr>
                <w:rFonts w:hint="eastAsia" w:ascii="仿宋" w:hAnsi="仿宋" w:eastAsia="仿宋" w:cs="仿宋"/>
                <w:sz w:val="18"/>
                <w:szCs w:val="18"/>
              </w:rPr>
            </w:pPr>
            <w:r>
              <w:rPr>
                <w:rFonts w:hint="eastAsia" w:ascii="仿宋" w:hAnsi="仿宋" w:eastAsia="仿宋" w:cs="仿宋"/>
                <w:sz w:val="18"/>
                <w:szCs w:val="18"/>
              </w:rPr>
              <w:t>合计</w:t>
            </w: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60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540</w:t>
            </w:r>
          </w:p>
        </w:tc>
        <w:tc>
          <w:tcPr>
            <w:tcW w:w="521"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330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210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1177" w:type="dxa"/>
            <w:vAlign w:val="center"/>
          </w:tcPr>
          <w:p>
            <w:pPr>
              <w:pStyle w:val="10"/>
              <w:spacing w:line="202" w:lineRule="exact"/>
              <w:ind w:right="206"/>
              <w:jc w:val="center"/>
              <w:rPr>
                <w:rFonts w:hint="eastAsia" w:ascii="仿宋" w:hAnsi="仿宋" w:eastAsia="仿宋" w:cs="仿宋"/>
                <w:sz w:val="18"/>
                <w:szCs w:val="18"/>
              </w:rPr>
            </w:pPr>
          </w:p>
        </w:tc>
        <w:tc>
          <w:tcPr>
            <w:tcW w:w="609" w:type="dxa"/>
            <w:vAlign w:val="center"/>
          </w:tcPr>
          <w:p>
            <w:pPr>
              <w:pStyle w:val="10"/>
              <w:jc w:val="center"/>
              <w:rPr>
                <w:rFonts w:hint="eastAsia" w:ascii="仿宋" w:hAnsi="仿宋" w:eastAsia="仿宋" w:cs="仿宋"/>
                <w:sz w:val="18"/>
                <w:szCs w:val="18"/>
              </w:rPr>
            </w:pPr>
          </w:p>
        </w:tc>
      </w:tr>
    </w:tbl>
    <w:tbl>
      <w:tblPr>
        <w:tblStyle w:val="6"/>
        <w:tblpPr w:leftFromText="180" w:rightFromText="180" w:vertAnchor="text" w:horzAnchor="page" w:tblpX="1098" w:tblpY="763"/>
        <w:tblOverlap w:val="never"/>
        <w:tblW w:w="968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8"/>
        <w:gridCol w:w="766"/>
        <w:gridCol w:w="2333"/>
        <w:gridCol w:w="366"/>
        <w:gridCol w:w="538"/>
        <w:gridCol w:w="563"/>
        <w:gridCol w:w="539"/>
        <w:gridCol w:w="583"/>
        <w:gridCol w:w="520"/>
        <w:gridCol w:w="718"/>
        <w:gridCol w:w="1177"/>
        <w:gridCol w:w="6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Merge w:val="restart"/>
            <w:vAlign w:val="center"/>
          </w:tcPr>
          <w:p>
            <w:pPr>
              <w:pStyle w:val="10"/>
              <w:jc w:val="center"/>
              <w:rPr>
                <w:rFonts w:hint="eastAsia" w:ascii="仿宋" w:hAnsi="仿宋" w:eastAsia="仿宋" w:cs="仿宋"/>
                <w:sz w:val="18"/>
                <w:szCs w:val="18"/>
              </w:rPr>
            </w:pPr>
          </w:p>
          <w:p>
            <w:pPr>
              <w:pStyle w:val="10"/>
              <w:spacing w:before="6"/>
              <w:jc w:val="center"/>
              <w:rPr>
                <w:rFonts w:hint="eastAsia" w:ascii="仿宋" w:hAnsi="仿宋" w:eastAsia="仿宋" w:cs="仿宋"/>
                <w:sz w:val="18"/>
                <w:szCs w:val="18"/>
              </w:rPr>
            </w:pPr>
          </w:p>
          <w:p>
            <w:pPr>
              <w:pStyle w:val="10"/>
              <w:spacing w:before="1"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第四学期</w:t>
            </w:r>
          </w:p>
          <w:p>
            <w:pPr>
              <w:pStyle w:val="10"/>
              <w:spacing w:line="226" w:lineRule="exact"/>
              <w:ind w:left="110"/>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6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jc0105</w:t>
            </w:r>
          </w:p>
        </w:tc>
        <w:tc>
          <w:tcPr>
            <w:tcW w:w="233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语文</w:t>
            </w:r>
          </w:p>
        </w:tc>
        <w:tc>
          <w:tcPr>
            <w:tcW w:w="366" w:type="dxa"/>
            <w:vAlign w:val="center"/>
          </w:tcPr>
          <w:p>
            <w:pPr>
              <w:pStyle w:val="10"/>
              <w:jc w:val="center"/>
              <w:rPr>
                <w:rFonts w:hint="eastAsia" w:ascii="仿宋" w:hAnsi="仿宋" w:eastAsia="仿宋" w:cs="仿宋"/>
                <w:sz w:val="18"/>
                <w:szCs w:val="18"/>
              </w:rPr>
            </w:pPr>
          </w:p>
        </w:tc>
        <w:tc>
          <w:tcPr>
            <w:tcW w:w="538" w:type="dxa"/>
            <w:vMerge w:val="restart"/>
            <w:vAlign w:val="center"/>
          </w:tcPr>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left="173" w:right="163"/>
              <w:jc w:val="center"/>
              <w:rPr>
                <w:rFonts w:hint="eastAsia" w:ascii="仿宋" w:hAnsi="仿宋" w:eastAsia="仿宋" w:cs="仿宋"/>
                <w:sz w:val="18"/>
                <w:szCs w:val="18"/>
              </w:rPr>
            </w:pPr>
          </w:p>
          <w:p>
            <w:pPr>
              <w:pStyle w:val="10"/>
              <w:spacing w:before="1" w:line="230" w:lineRule="auto"/>
              <w:ind w:right="163"/>
              <w:jc w:val="center"/>
              <w:rPr>
                <w:rFonts w:hint="eastAsia" w:ascii="仿宋" w:hAnsi="仿宋" w:eastAsia="仿宋" w:cs="仿宋"/>
                <w:sz w:val="18"/>
                <w:szCs w:val="18"/>
              </w:rPr>
            </w:pPr>
            <w:r>
              <w:rPr>
                <w:rFonts w:hint="eastAsia" w:ascii="仿宋" w:hAnsi="仿宋" w:eastAsia="仿宋" w:cs="仿宋"/>
                <w:sz w:val="18"/>
                <w:szCs w:val="18"/>
              </w:rPr>
              <w:t>必修</w:t>
            </w: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jc0106</w:t>
            </w:r>
          </w:p>
        </w:tc>
        <w:tc>
          <w:tcPr>
            <w:tcW w:w="233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数学</w:t>
            </w:r>
          </w:p>
        </w:tc>
        <w:tc>
          <w:tcPr>
            <w:tcW w:w="366" w:type="dxa"/>
            <w:vAlign w:val="center"/>
          </w:tcPr>
          <w:p>
            <w:pPr>
              <w:pStyle w:val="10"/>
              <w:jc w:val="center"/>
              <w:rPr>
                <w:rFonts w:hint="eastAsia" w:ascii="仿宋" w:hAnsi="仿宋" w:eastAsia="仿宋" w:cs="仿宋"/>
                <w:sz w:val="18"/>
                <w:szCs w:val="18"/>
              </w:rPr>
            </w:pP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968" w:type="dxa"/>
            <w:vMerge w:val="continue"/>
            <w:vAlign w:val="center"/>
          </w:tcPr>
          <w:p>
            <w:pPr>
              <w:jc w:val="center"/>
              <w:rPr>
                <w:rFonts w:hint="eastAsia" w:ascii="仿宋" w:hAnsi="仿宋" w:eastAsia="仿宋" w:cs="仿宋"/>
                <w:sz w:val="18"/>
                <w:szCs w:val="18"/>
              </w:rPr>
            </w:pPr>
          </w:p>
        </w:tc>
        <w:tc>
          <w:tcPr>
            <w:tcW w:w="76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jc0107</w:t>
            </w:r>
          </w:p>
        </w:tc>
        <w:tc>
          <w:tcPr>
            <w:tcW w:w="233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英语</w:t>
            </w:r>
          </w:p>
        </w:tc>
        <w:tc>
          <w:tcPr>
            <w:tcW w:w="366" w:type="dxa"/>
            <w:vAlign w:val="center"/>
          </w:tcPr>
          <w:p>
            <w:pPr>
              <w:pStyle w:val="10"/>
              <w:spacing w:line="202" w:lineRule="exact"/>
              <w:ind w:right="123"/>
              <w:jc w:val="center"/>
              <w:rPr>
                <w:rFonts w:hint="eastAsia" w:ascii="仿宋" w:hAnsi="仿宋" w:eastAsia="仿宋" w:cs="仿宋"/>
                <w:sz w:val="18"/>
                <w:szCs w:val="18"/>
              </w:rPr>
            </w:pP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spacing w:line="202"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5" w:hRule="atLeast"/>
        </w:trPr>
        <w:tc>
          <w:tcPr>
            <w:tcW w:w="968" w:type="dxa"/>
            <w:vMerge w:val="continue"/>
            <w:vAlign w:val="center"/>
          </w:tcPr>
          <w:p>
            <w:pPr>
              <w:jc w:val="center"/>
              <w:rPr>
                <w:rFonts w:hint="eastAsia" w:ascii="仿宋" w:hAnsi="仿宋" w:eastAsia="仿宋" w:cs="仿宋"/>
                <w:sz w:val="18"/>
                <w:szCs w:val="18"/>
              </w:rPr>
            </w:pPr>
          </w:p>
        </w:tc>
        <w:tc>
          <w:tcPr>
            <w:tcW w:w="766"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bidi="ar"/>
              </w:rPr>
              <w:t>zjc01</w:t>
            </w:r>
            <w:r>
              <w:rPr>
                <w:rFonts w:hint="eastAsia" w:ascii="仿宋" w:hAnsi="仿宋" w:eastAsia="仿宋" w:cs="仿宋"/>
                <w:color w:val="000000"/>
                <w:kern w:val="0"/>
                <w:sz w:val="18"/>
                <w:szCs w:val="18"/>
                <w:lang w:val="en-US" w:eastAsia="zh-CN" w:bidi="ar"/>
              </w:rPr>
              <w:t>22</w:t>
            </w:r>
          </w:p>
        </w:tc>
        <w:tc>
          <w:tcPr>
            <w:tcW w:w="2333" w:type="dxa"/>
            <w:shd w:val="clear" w:color="auto" w:fill="auto"/>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职业道德与法治</w:t>
            </w:r>
          </w:p>
        </w:tc>
        <w:tc>
          <w:tcPr>
            <w:tcW w:w="366" w:type="dxa"/>
            <w:vAlign w:val="center"/>
          </w:tcPr>
          <w:p>
            <w:pPr>
              <w:pStyle w:val="10"/>
              <w:jc w:val="center"/>
              <w:rPr>
                <w:rFonts w:hint="eastAsia" w:ascii="仿宋" w:hAnsi="仿宋" w:eastAsia="仿宋" w:cs="仿宋"/>
                <w:sz w:val="18"/>
                <w:szCs w:val="18"/>
              </w:rPr>
            </w:pP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center"/>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center"/>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center"/>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pStyle w:val="10"/>
              <w:spacing w:line="201" w:lineRule="exact"/>
              <w:ind w:right="206"/>
              <w:jc w:val="center"/>
              <w:rPr>
                <w:rFonts w:hint="eastAsia" w:ascii="仿宋" w:hAnsi="仿宋" w:eastAsia="仿宋" w:cs="仿宋"/>
                <w:sz w:val="18"/>
                <w:szCs w:val="18"/>
              </w:rPr>
            </w:pPr>
            <w:r>
              <w:rPr>
                <w:rFonts w:hint="eastAsia" w:ascii="仿宋" w:hAnsi="仿宋" w:eastAsia="仿宋" w:cs="仿宋"/>
                <w:sz w:val="18"/>
                <w:szCs w:val="18"/>
              </w:rPr>
              <w:t>公共基础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widowControl/>
              <w:spacing w:line="240" w:lineRule="auto"/>
              <w:jc w:val="both"/>
              <w:textAlignment w:val="center"/>
              <w:rPr>
                <w:rFonts w:hint="eastAsia" w:ascii="仿宋" w:hAnsi="仿宋" w:eastAsia="仿宋" w:cs="仿宋"/>
                <w:sz w:val="18"/>
                <w:szCs w:val="18"/>
              </w:rPr>
            </w:pPr>
            <w:r>
              <w:rPr>
                <w:rFonts w:hint="eastAsia" w:ascii="仿宋" w:hAnsi="仿宋" w:eastAsia="仿宋" w:cs="仿宋"/>
                <w:i w:val="0"/>
                <w:caps w:val="0"/>
                <w:color w:val="000000"/>
                <w:spacing w:val="0"/>
                <w:sz w:val="18"/>
                <w:szCs w:val="18"/>
                <w:shd w:val="clear" w:fill="FFFFFF"/>
              </w:rPr>
              <w:t>wqc0208</w:t>
            </w:r>
          </w:p>
        </w:tc>
        <w:tc>
          <w:tcPr>
            <w:tcW w:w="2333" w:type="dxa"/>
            <w:vAlign w:val="center"/>
          </w:tcPr>
          <w:p>
            <w:pPr>
              <w:widowControl/>
              <w:ind w:firstLine="180" w:firstLineChars="100"/>
              <w:jc w:val="both"/>
              <w:rPr>
                <w:rFonts w:hint="eastAsia" w:ascii="仿宋" w:hAnsi="仿宋" w:eastAsia="仿宋" w:cs="仿宋"/>
                <w:sz w:val="18"/>
                <w:szCs w:val="18"/>
              </w:rPr>
            </w:pPr>
            <w:r>
              <w:rPr>
                <w:rFonts w:hint="eastAsia" w:ascii="仿宋" w:hAnsi="仿宋" w:eastAsia="仿宋" w:cs="仿宋"/>
                <w:sz w:val="18"/>
                <w:szCs w:val="18"/>
              </w:rPr>
              <w:t>互换性与测量技术</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68</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before="34"/>
              <w:ind w:right="206"/>
              <w:jc w:val="center"/>
              <w:rPr>
                <w:rFonts w:hint="eastAsia" w:ascii="仿宋" w:hAnsi="仿宋" w:eastAsia="仿宋" w:cs="仿宋"/>
                <w:sz w:val="18"/>
                <w:szCs w:val="18"/>
              </w:rPr>
            </w:pPr>
            <w:r>
              <w:rPr>
                <w:rFonts w:hint="eastAsia" w:ascii="仿宋" w:hAnsi="仿宋" w:eastAsia="仿宋" w:cs="仿宋"/>
                <w:sz w:val="18"/>
                <w:szCs w:val="18"/>
              </w:rPr>
              <w:t>专业</w:t>
            </w:r>
            <w:r>
              <w:rPr>
                <w:rFonts w:hint="eastAsia" w:ascii="仿宋" w:hAnsi="仿宋" w:eastAsia="仿宋" w:cs="仿宋"/>
                <w:sz w:val="18"/>
                <w:szCs w:val="18"/>
                <w:lang w:val="en-US" w:eastAsia="zh-CN"/>
              </w:rPr>
              <w:t>基础</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i w:val="0"/>
                <w:caps w:val="0"/>
                <w:color w:val="000000"/>
                <w:spacing w:val="0"/>
                <w:sz w:val="18"/>
                <w:szCs w:val="18"/>
                <w:shd w:val="clear" w:fill="FFFFFF"/>
              </w:rPr>
              <w:t>wqc0312</w:t>
            </w:r>
          </w:p>
        </w:tc>
        <w:tc>
          <w:tcPr>
            <w:tcW w:w="233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汽车电子控制原理与应用</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68</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line="206" w:lineRule="exact"/>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widowControl/>
              <w:spacing w:line="240" w:lineRule="auto"/>
              <w:jc w:val="center"/>
              <w:textAlignment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qc0303</w:t>
            </w:r>
          </w:p>
        </w:tc>
        <w:tc>
          <w:tcPr>
            <w:tcW w:w="233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电控发动机</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68</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center"/>
          </w:tcPr>
          <w:p>
            <w:pPr>
              <w:pStyle w:val="10"/>
              <w:spacing w:line="206" w:lineRule="exact"/>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sz w:val="18"/>
                <w:szCs w:val="18"/>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qc0311</w:t>
            </w:r>
          </w:p>
        </w:tc>
        <w:tc>
          <w:tcPr>
            <w:tcW w:w="2333" w:type="dxa"/>
            <w:vAlign w:val="center"/>
          </w:tcPr>
          <w:p>
            <w:pPr>
              <w:widowControl/>
              <w:jc w:val="center"/>
              <w:rPr>
                <w:rFonts w:hint="eastAsia" w:ascii="仿宋" w:hAnsi="仿宋" w:eastAsia="仿宋" w:cs="仿宋"/>
                <w:sz w:val="18"/>
                <w:szCs w:val="18"/>
              </w:rPr>
            </w:pPr>
            <w:r>
              <w:rPr>
                <w:rFonts w:hint="eastAsia" w:ascii="仿宋" w:hAnsi="仿宋" w:eastAsia="仿宋" w:cs="仿宋"/>
                <w:kern w:val="0"/>
                <w:sz w:val="18"/>
                <w:szCs w:val="18"/>
              </w:rPr>
              <w:t>新能源汽车动力电池结构与维修</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42</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center"/>
          </w:tcPr>
          <w:p>
            <w:pPr>
              <w:pStyle w:val="10"/>
              <w:spacing w:line="206" w:lineRule="exact"/>
              <w:ind w:right="206"/>
              <w:jc w:val="center"/>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3465" w:type="dxa"/>
            <w:gridSpan w:val="3"/>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合计</w:t>
            </w:r>
          </w:p>
        </w:tc>
        <w:tc>
          <w:tcPr>
            <w:tcW w:w="538" w:type="dxa"/>
            <w:tcBorders>
              <w:top w:val="nil"/>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540</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294</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246</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1177" w:type="dxa"/>
            <w:vAlign w:val="center"/>
          </w:tcPr>
          <w:p>
            <w:pPr>
              <w:pStyle w:val="10"/>
              <w:spacing w:line="206" w:lineRule="exact"/>
              <w:ind w:right="206"/>
              <w:jc w:val="center"/>
              <w:rPr>
                <w:rFonts w:hint="eastAsia" w:ascii="仿宋" w:hAnsi="仿宋" w:eastAsia="仿宋" w:cs="仿宋"/>
                <w:sz w:val="18"/>
                <w:szCs w:val="18"/>
              </w:rPr>
            </w:pPr>
          </w:p>
        </w:tc>
        <w:tc>
          <w:tcPr>
            <w:tcW w:w="609" w:type="dxa"/>
            <w:vAlign w:val="center"/>
          </w:tcPr>
          <w:p>
            <w:pPr>
              <w:pStyle w:val="10"/>
              <w:jc w:val="center"/>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restart"/>
            <w:vAlign w:val="center"/>
          </w:tcPr>
          <w:p>
            <w:pPr>
              <w:pStyle w:val="10"/>
              <w:spacing w:before="1" w:line="228" w:lineRule="auto"/>
              <w:ind w:left="386" w:right="373"/>
              <w:jc w:val="center"/>
              <w:rPr>
                <w:rFonts w:hint="eastAsia" w:ascii="仿宋" w:hAnsi="仿宋" w:eastAsia="仿宋" w:cs="仿宋"/>
                <w:sz w:val="18"/>
                <w:szCs w:val="18"/>
              </w:rPr>
            </w:pPr>
          </w:p>
          <w:p>
            <w:pPr>
              <w:pStyle w:val="10"/>
              <w:spacing w:before="1" w:line="228" w:lineRule="auto"/>
              <w:ind w:left="386" w:right="373"/>
              <w:jc w:val="center"/>
              <w:rPr>
                <w:rFonts w:hint="eastAsia" w:ascii="仿宋" w:hAnsi="仿宋" w:eastAsia="仿宋" w:cs="仿宋"/>
                <w:sz w:val="18"/>
                <w:szCs w:val="18"/>
              </w:rPr>
            </w:pPr>
          </w:p>
          <w:p>
            <w:pPr>
              <w:pStyle w:val="10"/>
              <w:spacing w:before="1"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w:t>
            </w:r>
            <w:r>
              <w:rPr>
                <w:rFonts w:hint="eastAsia" w:ascii="仿宋" w:hAnsi="仿宋" w:eastAsia="仿宋" w:cs="仿宋"/>
                <w:sz w:val="18"/>
                <w:szCs w:val="18"/>
                <w:lang w:val="en-US" w:eastAsia="zh-CN"/>
              </w:rPr>
              <w:t>五</w:t>
            </w:r>
            <w:r>
              <w:rPr>
                <w:rFonts w:hint="eastAsia" w:ascii="仿宋" w:hAnsi="仿宋" w:eastAsia="仿宋" w:cs="仿宋"/>
                <w:sz w:val="18"/>
                <w:szCs w:val="18"/>
              </w:rPr>
              <w:t>学期</w:t>
            </w:r>
          </w:p>
          <w:p>
            <w:pPr>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val="en-US" w:eastAsia="zh-CN"/>
              </w:rPr>
              <w:t>Gjc0102</w:t>
            </w:r>
          </w:p>
        </w:tc>
        <w:tc>
          <w:tcPr>
            <w:tcW w:w="23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军事理论</w:t>
            </w:r>
          </w:p>
        </w:tc>
        <w:tc>
          <w:tcPr>
            <w:tcW w:w="36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tc>
        <w:tc>
          <w:tcPr>
            <w:tcW w:w="538" w:type="dxa"/>
            <w:vMerge w:val="restart"/>
            <w:tcBorders>
              <w:top w:val="nil"/>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必修</w:t>
            </w: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考察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Gjc0105</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思想道德与法治</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48</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16</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Gjc0108</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信息技术</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60</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12</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Gjc0103</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大学体育与健康</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leftChars="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leftChars="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leftChars="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5.3</w:t>
            </w:r>
          </w:p>
        </w:tc>
        <w:tc>
          <w:tcPr>
            <w:tcW w:w="520" w:type="dxa"/>
            <w:vAlign w:val="top"/>
          </w:tcPr>
          <w:p>
            <w:pPr>
              <w:pStyle w:val="10"/>
              <w:spacing w:line="202" w:lineRule="exact"/>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30.6</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Gjc0104</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大学生心理健康</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color w:val="000000"/>
                <w:kern w:val="0"/>
                <w:sz w:val="18"/>
                <w:szCs w:val="18"/>
                <w:lang w:val="en-US" w:eastAsia="zh-CN" w:bidi="ar"/>
              </w:rPr>
            </w:pPr>
            <w:r>
              <w:rPr>
                <w:rFonts w:hint="eastAsia" w:ascii="仿宋" w:hAnsi="仿宋" w:eastAsia="仿宋" w:cs="仿宋"/>
                <w:sz w:val="18"/>
                <w:szCs w:val="18"/>
                <w:lang w:eastAsia="zh-CN"/>
              </w:rPr>
              <w:t>Gjc0112</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大学英语</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eastAsia="zh-CN"/>
              </w:rPr>
              <w:t>Gjc0111</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高等数学</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Gjc0113</w:t>
            </w:r>
          </w:p>
        </w:tc>
        <w:tc>
          <w:tcPr>
            <w:tcW w:w="23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大学语文</w:t>
            </w:r>
          </w:p>
        </w:tc>
        <w:tc>
          <w:tcPr>
            <w:tcW w:w="36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p>
        </w:tc>
        <w:tc>
          <w:tcPr>
            <w:tcW w:w="538" w:type="dxa"/>
            <w:vMerge w:val="continue"/>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p>
        </w:tc>
        <w:tc>
          <w:tcPr>
            <w:tcW w:w="718"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sz w:val="18"/>
                <w:szCs w:val="18"/>
              </w:rPr>
            </w:pPr>
            <w:r>
              <w:rPr>
                <w:rFonts w:hint="eastAsia" w:ascii="仿宋" w:hAnsi="仿宋" w:eastAsia="仿宋" w:cs="仿宋"/>
                <w:sz w:val="18"/>
                <w:szCs w:val="18"/>
                <w:lang w:val="en-US" w:eastAsia="zh-CN"/>
              </w:rPr>
              <w:t>Gjc115</w:t>
            </w:r>
          </w:p>
        </w:tc>
        <w:tc>
          <w:tcPr>
            <w:tcW w:w="23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劳动教育</w:t>
            </w:r>
          </w:p>
        </w:tc>
        <w:tc>
          <w:tcPr>
            <w:tcW w:w="36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tc>
        <w:tc>
          <w:tcPr>
            <w:tcW w:w="538" w:type="dxa"/>
            <w:vMerge w:val="continue"/>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18</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sz w:val="18"/>
                <w:szCs w:val="18"/>
              </w:rPr>
            </w:pPr>
            <w:r>
              <w:rPr>
                <w:rFonts w:hint="eastAsia" w:ascii="仿宋" w:hAnsi="仿宋" w:eastAsia="仿宋" w:cs="仿宋"/>
                <w:sz w:val="18"/>
                <w:szCs w:val="18"/>
                <w:lang w:val="en-US" w:eastAsia="zh-CN"/>
              </w:rPr>
              <w:t>考察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wqc0211</w:t>
            </w:r>
          </w:p>
        </w:tc>
        <w:tc>
          <w:tcPr>
            <w:tcW w:w="2333" w:type="dxa"/>
            <w:vAlign w:val="top"/>
          </w:tcPr>
          <w:p>
            <w:pPr>
              <w:pStyle w:val="10"/>
              <w:spacing w:before="29"/>
              <w:ind w:left="108" w:leftChars="0"/>
              <w:jc w:val="center"/>
              <w:rPr>
                <w:rFonts w:hint="eastAsia" w:ascii="仿宋" w:hAnsi="仿宋" w:eastAsia="仿宋" w:cs="仿宋"/>
                <w:sz w:val="18"/>
                <w:szCs w:val="18"/>
              </w:rPr>
            </w:pPr>
            <w:r>
              <w:rPr>
                <w:rFonts w:hint="eastAsia" w:ascii="仿宋" w:hAnsi="仿宋" w:eastAsia="仿宋" w:cs="仿宋"/>
                <w:sz w:val="18"/>
                <w:szCs w:val="18"/>
              </w:rPr>
              <w:t>汽车机械制图及CAD技术</w:t>
            </w:r>
          </w:p>
        </w:tc>
        <w:tc>
          <w:tcPr>
            <w:tcW w:w="366" w:type="dxa"/>
            <w:vAlign w:val="center"/>
          </w:tcPr>
          <w:p>
            <w:pPr>
              <w:pStyle w:val="10"/>
              <w:jc w:val="center"/>
              <w:rPr>
                <w:rFonts w:hint="eastAsia" w:ascii="仿宋" w:hAnsi="仿宋" w:eastAsia="仿宋" w:cs="仿宋"/>
                <w:sz w:val="18"/>
                <w:szCs w:val="18"/>
              </w:rPr>
            </w:pP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pStyle w:val="10"/>
              <w:spacing w:before="44"/>
              <w:ind w:right="206" w:rightChars="0"/>
              <w:jc w:val="right"/>
              <w:rPr>
                <w:rFonts w:hint="eastAsia" w:ascii="仿宋" w:hAnsi="仿宋" w:eastAsia="仿宋" w:cs="仿宋"/>
                <w:sz w:val="18"/>
                <w:szCs w:val="18"/>
              </w:rPr>
            </w:pPr>
            <w:r>
              <w:rPr>
                <w:rFonts w:hint="eastAsia" w:ascii="仿宋" w:hAnsi="仿宋" w:eastAsia="仿宋" w:cs="仿宋"/>
                <w:sz w:val="18"/>
                <w:szCs w:val="18"/>
              </w:rPr>
              <w:t>专业基础课</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wqc0313</w:t>
            </w:r>
          </w:p>
        </w:tc>
        <w:tc>
          <w:tcPr>
            <w:tcW w:w="233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汽车底盘电控系统与维修</w:t>
            </w:r>
          </w:p>
        </w:tc>
        <w:tc>
          <w:tcPr>
            <w:tcW w:w="366" w:type="dxa"/>
            <w:vAlign w:val="center"/>
          </w:tcPr>
          <w:p>
            <w:pPr>
              <w:pStyle w:val="1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w:t>
            </w: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42</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pStyle w:val="10"/>
              <w:spacing w:before="45"/>
              <w:ind w:right="206" w:rightChars="0"/>
              <w:jc w:val="right"/>
              <w:rPr>
                <w:rFonts w:hint="eastAsia" w:ascii="仿宋" w:hAnsi="仿宋" w:eastAsia="仿宋" w:cs="仿宋"/>
                <w:sz w:val="18"/>
                <w:szCs w:val="18"/>
              </w:rPr>
            </w:pPr>
            <w:r>
              <w:rPr>
                <w:rFonts w:hint="eastAsia" w:ascii="仿宋" w:hAnsi="仿宋" w:eastAsia="仿宋" w:cs="仿宋"/>
                <w:sz w:val="18"/>
                <w:szCs w:val="18"/>
              </w:rPr>
              <w:t>专业</w:t>
            </w:r>
            <w:r>
              <w:rPr>
                <w:rFonts w:hint="eastAsia" w:ascii="仿宋" w:hAnsi="仿宋" w:eastAsia="仿宋" w:cs="仿宋"/>
                <w:sz w:val="18"/>
                <w:szCs w:val="18"/>
                <w:lang w:val="en-US" w:eastAsia="zh-CN"/>
              </w:rPr>
              <w:t>核心</w:t>
            </w:r>
            <w:r>
              <w:rPr>
                <w:rFonts w:hint="eastAsia" w:ascii="仿宋" w:hAnsi="仿宋" w:eastAsia="仿宋" w:cs="仿宋"/>
                <w:sz w:val="18"/>
                <w:szCs w:val="18"/>
              </w:rPr>
              <w:t>课</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wqc0206</w:t>
            </w:r>
          </w:p>
        </w:tc>
        <w:tc>
          <w:tcPr>
            <w:tcW w:w="2333" w:type="dxa"/>
            <w:vAlign w:val="top"/>
          </w:tcPr>
          <w:p>
            <w:pPr>
              <w:pStyle w:val="10"/>
              <w:spacing w:before="29"/>
              <w:ind w:left="108" w:leftChars="0"/>
              <w:jc w:val="center"/>
              <w:rPr>
                <w:rFonts w:hint="eastAsia" w:ascii="仿宋" w:hAnsi="仿宋" w:eastAsia="仿宋" w:cs="仿宋"/>
                <w:kern w:val="0"/>
                <w:sz w:val="18"/>
                <w:szCs w:val="18"/>
              </w:rPr>
            </w:pPr>
            <w:r>
              <w:rPr>
                <w:rFonts w:hint="eastAsia" w:ascii="仿宋" w:hAnsi="仿宋" w:eastAsia="仿宋" w:cs="仿宋"/>
                <w:sz w:val="18"/>
                <w:szCs w:val="18"/>
              </w:rPr>
              <w:t>机械基础</w:t>
            </w:r>
          </w:p>
        </w:tc>
        <w:tc>
          <w:tcPr>
            <w:tcW w:w="366" w:type="dxa"/>
            <w:vAlign w:val="center"/>
          </w:tcPr>
          <w:p>
            <w:pPr>
              <w:pStyle w:val="10"/>
              <w:jc w:val="center"/>
              <w:rPr>
                <w:rFonts w:hint="eastAsia" w:ascii="仿宋" w:hAnsi="仿宋" w:eastAsia="仿宋" w:cs="仿宋"/>
                <w:sz w:val="18"/>
                <w:szCs w:val="18"/>
              </w:rPr>
            </w:pPr>
          </w:p>
        </w:tc>
        <w:tc>
          <w:tcPr>
            <w:tcW w:w="538" w:type="dxa"/>
            <w:vMerge w:val="continue"/>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54</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pStyle w:val="10"/>
              <w:spacing w:before="45"/>
              <w:ind w:right="206" w:rightChars="0"/>
              <w:jc w:val="right"/>
              <w:rPr>
                <w:rFonts w:hint="eastAsia" w:ascii="仿宋" w:hAnsi="仿宋" w:eastAsia="仿宋" w:cs="仿宋"/>
                <w:sz w:val="18"/>
                <w:szCs w:val="18"/>
              </w:rPr>
            </w:pPr>
            <w:r>
              <w:rPr>
                <w:rFonts w:hint="eastAsia" w:ascii="仿宋" w:hAnsi="仿宋" w:eastAsia="仿宋" w:cs="仿宋"/>
                <w:sz w:val="18"/>
                <w:szCs w:val="18"/>
              </w:rPr>
              <w:t>专业基础课</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p>
        </w:tc>
        <w:tc>
          <w:tcPr>
            <w:tcW w:w="2333" w:type="dxa"/>
            <w:vAlign w:val="top"/>
          </w:tcPr>
          <w:p>
            <w:pPr>
              <w:pStyle w:val="10"/>
              <w:spacing w:before="29"/>
              <w:ind w:left="108" w:leftChars="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形式与政策</w:t>
            </w:r>
          </w:p>
        </w:tc>
        <w:tc>
          <w:tcPr>
            <w:tcW w:w="366" w:type="dxa"/>
            <w:vAlign w:val="center"/>
          </w:tcPr>
          <w:p>
            <w:pPr>
              <w:pStyle w:val="10"/>
              <w:jc w:val="center"/>
              <w:rPr>
                <w:rFonts w:hint="eastAsia" w:ascii="仿宋" w:hAnsi="仿宋" w:eastAsia="仿宋" w:cs="仿宋"/>
                <w:sz w:val="18"/>
                <w:szCs w:val="18"/>
              </w:rPr>
            </w:pPr>
          </w:p>
        </w:tc>
        <w:tc>
          <w:tcPr>
            <w:tcW w:w="538" w:type="dxa"/>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kern w:val="2"/>
                <w:sz w:val="18"/>
                <w:szCs w:val="18"/>
                <w:lang w:val="en-US" w:eastAsia="zh-CN" w:bidi="ar-SA"/>
              </w:rPr>
              <w:t>0.25</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spacing w:before="45"/>
              <w:ind w:right="206" w:rightChars="0"/>
              <w:jc w:val="right"/>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公共基础</w:t>
            </w:r>
          </w:p>
        </w:tc>
        <w:tc>
          <w:tcPr>
            <w:tcW w:w="609" w:type="dxa"/>
            <w:vAlign w:val="top"/>
          </w:tcPr>
          <w:p>
            <w:pPr>
              <w:pStyle w:val="1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p>
        </w:tc>
        <w:tc>
          <w:tcPr>
            <w:tcW w:w="2333" w:type="dxa"/>
            <w:vAlign w:val="top"/>
          </w:tcPr>
          <w:p>
            <w:pPr>
              <w:pStyle w:val="10"/>
              <w:spacing w:before="29"/>
              <w:ind w:left="108" w:left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大学生安全教育</w:t>
            </w:r>
          </w:p>
        </w:tc>
        <w:tc>
          <w:tcPr>
            <w:tcW w:w="366" w:type="dxa"/>
            <w:vAlign w:val="center"/>
          </w:tcPr>
          <w:p>
            <w:pPr>
              <w:pStyle w:val="10"/>
              <w:jc w:val="center"/>
              <w:rPr>
                <w:rFonts w:hint="eastAsia" w:ascii="仿宋" w:hAnsi="仿宋" w:eastAsia="仿宋" w:cs="仿宋"/>
                <w:sz w:val="18"/>
                <w:szCs w:val="18"/>
              </w:rPr>
            </w:pPr>
          </w:p>
        </w:tc>
        <w:tc>
          <w:tcPr>
            <w:tcW w:w="538" w:type="dxa"/>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spacing w:before="45"/>
              <w:ind w:right="206" w:rightChars="0"/>
              <w:jc w:val="right"/>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公共基础</w:t>
            </w:r>
          </w:p>
        </w:tc>
        <w:tc>
          <w:tcPr>
            <w:tcW w:w="609" w:type="dxa"/>
            <w:vAlign w:val="top"/>
          </w:tcPr>
          <w:p>
            <w:pPr>
              <w:pStyle w:val="1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p>
        </w:tc>
        <w:tc>
          <w:tcPr>
            <w:tcW w:w="2333" w:type="dxa"/>
            <w:vAlign w:val="top"/>
          </w:tcPr>
          <w:p>
            <w:pPr>
              <w:pStyle w:val="10"/>
              <w:spacing w:before="29"/>
              <w:ind w:left="108" w:left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合计</w:t>
            </w:r>
          </w:p>
        </w:tc>
        <w:tc>
          <w:tcPr>
            <w:tcW w:w="366" w:type="dxa"/>
            <w:vAlign w:val="center"/>
          </w:tcPr>
          <w:p>
            <w:pPr>
              <w:pStyle w:val="10"/>
              <w:jc w:val="center"/>
              <w:rPr>
                <w:rFonts w:hint="eastAsia" w:ascii="仿宋" w:hAnsi="仿宋" w:eastAsia="仿宋" w:cs="仿宋"/>
                <w:sz w:val="18"/>
                <w:szCs w:val="18"/>
              </w:rPr>
            </w:pPr>
          </w:p>
        </w:tc>
        <w:tc>
          <w:tcPr>
            <w:tcW w:w="538" w:type="dxa"/>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sum(F13:F27)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33.25</w:t>
            </w:r>
            <w:r>
              <w:rPr>
                <w:rFonts w:hint="eastAsia" w:ascii="仿宋" w:hAnsi="仿宋" w:eastAsia="仿宋" w:cs="仿宋"/>
                <w:sz w:val="18"/>
                <w:szCs w:val="18"/>
                <w:lang w:val="en-US" w:eastAsia="zh-CN"/>
              </w:rPr>
              <w:fldChar w:fldCharType="end"/>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sum(G13:G27)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594</w:t>
            </w:r>
            <w:r>
              <w:rPr>
                <w:rFonts w:hint="eastAsia" w:ascii="仿宋" w:hAnsi="仿宋" w:eastAsia="仿宋" w:cs="仿宋"/>
                <w:sz w:val="18"/>
                <w:szCs w:val="18"/>
                <w:lang w:val="en-US" w:eastAsia="zh-CN"/>
              </w:rPr>
              <w:fldChar w:fldCharType="end"/>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sum(H13:H27)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376.6</w:t>
            </w:r>
            <w:r>
              <w:rPr>
                <w:rFonts w:hint="eastAsia" w:ascii="仿宋" w:hAnsi="仿宋" w:eastAsia="仿宋" w:cs="仿宋"/>
                <w:sz w:val="18"/>
                <w:szCs w:val="18"/>
                <w:lang w:val="en-US" w:eastAsia="zh-CN"/>
              </w:rPr>
              <w:fldChar w:fldCharType="end"/>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sum(I13:I27)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211.2</w:t>
            </w:r>
            <w:r>
              <w:rPr>
                <w:rFonts w:hint="eastAsia" w:ascii="仿宋" w:hAnsi="仿宋" w:eastAsia="仿宋" w:cs="仿宋"/>
                <w:sz w:val="18"/>
                <w:szCs w:val="18"/>
                <w:lang w:val="en-US" w:eastAsia="zh-CN"/>
              </w:rPr>
              <w:fldChar w:fldCharType="end"/>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sum(J13:J27)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39</w:t>
            </w:r>
            <w:r>
              <w:rPr>
                <w:rFonts w:hint="eastAsia" w:ascii="仿宋" w:hAnsi="仿宋" w:eastAsia="仿宋" w:cs="仿宋"/>
                <w:sz w:val="18"/>
                <w:szCs w:val="18"/>
                <w:lang w:val="en-US" w:eastAsia="zh-CN"/>
              </w:rPr>
              <w:fldChar w:fldCharType="end"/>
            </w:r>
          </w:p>
        </w:tc>
        <w:tc>
          <w:tcPr>
            <w:tcW w:w="1177" w:type="dxa"/>
            <w:vAlign w:val="top"/>
          </w:tcPr>
          <w:p>
            <w:pPr>
              <w:pStyle w:val="10"/>
              <w:spacing w:before="45"/>
              <w:ind w:right="206" w:rightChars="0"/>
              <w:jc w:val="right"/>
              <w:rPr>
                <w:rFonts w:hint="eastAsia" w:ascii="仿宋" w:hAnsi="仿宋" w:eastAsia="仿宋" w:cs="仿宋"/>
                <w:sz w:val="18"/>
                <w:szCs w:val="18"/>
              </w:rPr>
            </w:pPr>
          </w:p>
        </w:tc>
        <w:tc>
          <w:tcPr>
            <w:tcW w:w="609" w:type="dxa"/>
            <w:vAlign w:val="top"/>
          </w:tcPr>
          <w:p>
            <w:pPr>
              <w:pStyle w:val="10"/>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kern w:val="2"/>
                <w:sz w:val="18"/>
                <w:szCs w:val="18"/>
                <w:lang w:val="en-US" w:eastAsia="zh-CN" w:bidi="ar-SA"/>
              </w:rPr>
            </w:pPr>
          </w:p>
        </w:tc>
        <w:tc>
          <w:tcPr>
            <w:tcW w:w="2333" w:type="dxa"/>
            <w:vAlign w:val="top"/>
          </w:tcPr>
          <w:p>
            <w:pPr>
              <w:pStyle w:val="10"/>
              <w:spacing w:before="29"/>
              <w:ind w:left="108" w:leftChars="0"/>
              <w:jc w:val="center"/>
              <w:rPr>
                <w:rFonts w:hint="eastAsia" w:ascii="仿宋" w:hAnsi="仿宋" w:eastAsia="仿宋" w:cs="仿宋"/>
                <w:sz w:val="18"/>
                <w:szCs w:val="18"/>
                <w:lang w:val="en-US" w:eastAsia="zh-CN"/>
              </w:rPr>
            </w:pPr>
          </w:p>
        </w:tc>
        <w:tc>
          <w:tcPr>
            <w:tcW w:w="366" w:type="dxa"/>
            <w:vAlign w:val="center"/>
          </w:tcPr>
          <w:p>
            <w:pPr>
              <w:pStyle w:val="10"/>
              <w:jc w:val="center"/>
              <w:rPr>
                <w:rFonts w:hint="eastAsia" w:ascii="仿宋" w:hAnsi="仿宋" w:eastAsia="仿宋" w:cs="仿宋"/>
                <w:sz w:val="18"/>
                <w:szCs w:val="18"/>
              </w:rPr>
            </w:pPr>
          </w:p>
        </w:tc>
        <w:tc>
          <w:tcPr>
            <w:tcW w:w="538" w:type="dxa"/>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p>
        </w:tc>
        <w:tc>
          <w:tcPr>
            <w:tcW w:w="1177" w:type="dxa"/>
            <w:vAlign w:val="top"/>
          </w:tcPr>
          <w:p>
            <w:pPr>
              <w:pStyle w:val="10"/>
              <w:spacing w:before="45"/>
              <w:ind w:right="206" w:rightChars="0"/>
              <w:jc w:val="right"/>
              <w:rPr>
                <w:rFonts w:hint="eastAsia" w:ascii="仿宋" w:hAnsi="仿宋" w:eastAsia="仿宋" w:cs="仿宋"/>
                <w:sz w:val="18"/>
                <w:szCs w:val="18"/>
              </w:rPr>
            </w:pPr>
          </w:p>
        </w:tc>
        <w:tc>
          <w:tcPr>
            <w:tcW w:w="609" w:type="dxa"/>
            <w:vAlign w:val="top"/>
          </w:tcPr>
          <w:p>
            <w:pPr>
              <w:pStyle w:val="10"/>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restart"/>
            <w:vAlign w:val="center"/>
          </w:tcPr>
          <w:p>
            <w:pPr>
              <w:pStyle w:val="10"/>
              <w:spacing w:before="1"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w:t>
            </w:r>
            <w:r>
              <w:rPr>
                <w:rFonts w:hint="eastAsia" w:ascii="仿宋" w:hAnsi="仿宋" w:eastAsia="仿宋" w:cs="仿宋"/>
                <w:sz w:val="18"/>
                <w:szCs w:val="18"/>
                <w:lang w:val="en-US" w:eastAsia="zh-CN"/>
              </w:rPr>
              <w:t>六</w:t>
            </w:r>
            <w:r>
              <w:rPr>
                <w:rFonts w:hint="eastAsia" w:ascii="仿宋" w:hAnsi="仿宋" w:eastAsia="仿宋" w:cs="仿宋"/>
                <w:sz w:val="18"/>
                <w:szCs w:val="18"/>
              </w:rPr>
              <w:t>学期</w:t>
            </w:r>
          </w:p>
          <w:p>
            <w:pPr>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val="en-US" w:eastAsia="zh-CN"/>
              </w:rPr>
              <w:t>Gjc0103</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大学体育与健康</w:t>
            </w:r>
          </w:p>
        </w:tc>
        <w:tc>
          <w:tcPr>
            <w:tcW w:w="366"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p>
        </w:tc>
        <w:tc>
          <w:tcPr>
            <w:tcW w:w="538" w:type="dxa"/>
            <w:vMerge w:val="restart"/>
            <w:tcBorders>
              <w:top w:val="nil"/>
            </w:tcBorders>
            <w:vAlign w:val="top"/>
          </w:tcPr>
          <w:p>
            <w:pPr>
              <w:pStyle w:val="10"/>
              <w:keepNext w:val="0"/>
              <w:keepLines w:val="0"/>
              <w:pageBreakBefore w:val="0"/>
              <w:kinsoku/>
              <w:wordWrap/>
              <w:overflowPunct/>
              <w:topLinePunct w:val="0"/>
              <w:bidi w:val="0"/>
              <w:adjustRightInd/>
              <w:spacing w:before="29" w:line="480" w:lineRule="exact"/>
              <w:ind w:left="108"/>
              <w:jc w:val="center"/>
              <w:rPr>
                <w:rFonts w:hint="eastAsia" w:ascii="仿宋" w:hAnsi="仿宋" w:eastAsia="仿宋" w:cs="仿宋"/>
                <w:kern w:val="2"/>
                <w:sz w:val="18"/>
                <w:szCs w:val="18"/>
                <w:lang w:val="en-US" w:eastAsia="zh-CN" w:bidi="ar-SA"/>
              </w:rPr>
            </w:pPr>
          </w:p>
          <w:p>
            <w:pPr>
              <w:pStyle w:val="10"/>
              <w:keepNext w:val="0"/>
              <w:keepLines w:val="0"/>
              <w:pageBreakBefore w:val="0"/>
              <w:kinsoku/>
              <w:wordWrap/>
              <w:overflowPunct/>
              <w:topLinePunct w:val="0"/>
              <w:bidi w:val="0"/>
              <w:adjustRightInd/>
              <w:spacing w:before="29" w:line="480" w:lineRule="exact"/>
              <w:ind w:left="108"/>
              <w:jc w:val="center"/>
              <w:rPr>
                <w:rFonts w:hint="eastAsia" w:ascii="仿宋" w:hAnsi="仿宋" w:eastAsia="仿宋" w:cs="仿宋"/>
                <w:kern w:val="2"/>
                <w:sz w:val="18"/>
                <w:szCs w:val="18"/>
                <w:lang w:val="en-US" w:eastAsia="zh-CN" w:bidi="ar-SA"/>
              </w:rPr>
            </w:pPr>
          </w:p>
          <w:p>
            <w:pPr>
              <w:pStyle w:val="10"/>
              <w:keepNext w:val="0"/>
              <w:keepLines w:val="0"/>
              <w:pageBreakBefore w:val="0"/>
              <w:kinsoku/>
              <w:wordWrap/>
              <w:overflowPunct/>
              <w:topLinePunct w:val="0"/>
              <w:bidi w:val="0"/>
              <w:adjustRightInd/>
              <w:spacing w:before="29" w:line="480" w:lineRule="exact"/>
              <w:ind w:left="108"/>
              <w:jc w:val="center"/>
              <w:rPr>
                <w:rFonts w:hint="eastAsia" w:ascii="仿宋" w:hAnsi="仿宋" w:eastAsia="仿宋" w:cs="仿宋"/>
                <w:kern w:val="2"/>
                <w:sz w:val="18"/>
                <w:szCs w:val="18"/>
                <w:lang w:val="en-US" w:eastAsia="zh-CN" w:bidi="ar-SA"/>
              </w:rPr>
            </w:pPr>
          </w:p>
          <w:p>
            <w:pPr>
              <w:pStyle w:val="10"/>
              <w:keepNext w:val="0"/>
              <w:keepLines w:val="0"/>
              <w:pageBreakBefore w:val="0"/>
              <w:kinsoku/>
              <w:wordWrap/>
              <w:overflowPunct/>
              <w:topLinePunct w:val="0"/>
              <w:bidi w:val="0"/>
              <w:adjustRightInd/>
              <w:spacing w:before="29" w:line="480" w:lineRule="exact"/>
              <w:ind w:left="108"/>
              <w:jc w:val="center"/>
              <w:rPr>
                <w:rFonts w:hint="eastAsia" w:ascii="仿宋" w:hAnsi="仿宋" w:eastAsia="仿宋" w:cs="仿宋"/>
                <w:kern w:val="2"/>
                <w:sz w:val="18"/>
                <w:szCs w:val="18"/>
                <w:lang w:val="en-US" w:eastAsia="zh-CN" w:bidi="ar-SA"/>
              </w:rPr>
            </w:pPr>
          </w:p>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必修</w:t>
            </w: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5.3</w:t>
            </w:r>
          </w:p>
        </w:tc>
        <w:tc>
          <w:tcPr>
            <w:tcW w:w="520" w:type="dxa"/>
            <w:vAlign w:val="top"/>
          </w:tcPr>
          <w:p>
            <w:pPr>
              <w:pStyle w:val="10"/>
              <w:spacing w:line="202" w:lineRule="exact"/>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30.6</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val="en-US" w:eastAsia="zh-CN"/>
              </w:rPr>
              <w:t>Gjc0101</w:t>
            </w:r>
          </w:p>
        </w:tc>
        <w:tc>
          <w:tcPr>
            <w:tcW w:w="233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大学生安全教育</w:t>
            </w:r>
          </w:p>
        </w:tc>
        <w:tc>
          <w:tcPr>
            <w:tcW w:w="36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tc>
        <w:tc>
          <w:tcPr>
            <w:tcW w:w="538" w:type="dxa"/>
            <w:vMerge w:val="continue"/>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center"/>
              <w:textAlignment w:val="auto"/>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line="480" w:lineRule="exact"/>
              <w:ind w:left="121"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w:t>
            </w:r>
            <w:r>
              <w:rPr>
                <w:rFonts w:hint="eastAsia" w:ascii="仿宋" w:hAnsi="仿宋" w:eastAsia="仿宋" w:cs="仿宋"/>
                <w:sz w:val="18"/>
                <w:szCs w:val="18"/>
              </w:rPr>
              <w:t>jc0107</w:t>
            </w:r>
          </w:p>
        </w:tc>
        <w:tc>
          <w:tcPr>
            <w:tcW w:w="2333" w:type="dxa"/>
            <w:vAlign w:val="top"/>
          </w:tcPr>
          <w:p>
            <w:pPr>
              <w:pStyle w:val="10"/>
              <w:keepNext w:val="0"/>
              <w:keepLines w:val="0"/>
              <w:pageBreakBefore w:val="0"/>
              <w:kinsoku/>
              <w:wordWrap/>
              <w:overflowPunct/>
              <w:topLinePunct w:val="0"/>
              <w:bidi w:val="0"/>
              <w:adjustRightInd/>
              <w:spacing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毛泽东思想和中国特色社会主义理论体系概论</w:t>
            </w:r>
          </w:p>
        </w:tc>
        <w:tc>
          <w:tcPr>
            <w:tcW w:w="366" w:type="dxa"/>
            <w:vAlign w:val="top"/>
          </w:tcPr>
          <w:p>
            <w:pPr>
              <w:pStyle w:val="10"/>
              <w:keepNext w:val="0"/>
              <w:keepLines w:val="0"/>
              <w:pageBreakBefore w:val="0"/>
              <w:kinsoku/>
              <w:wordWrap/>
              <w:overflowPunct/>
              <w:topLinePunct w:val="0"/>
              <w:bidi w:val="0"/>
              <w:adjustRightInd/>
              <w:spacing w:line="480" w:lineRule="exact"/>
              <w:jc w:val="center"/>
              <w:rPr>
                <w:rFonts w:hint="eastAsia" w:ascii="仿宋" w:hAnsi="仿宋" w:eastAsia="仿宋" w:cs="仿宋"/>
                <w:kern w:val="2"/>
                <w:sz w:val="18"/>
                <w:szCs w:val="18"/>
                <w:lang w:val="en-US" w:eastAsia="zh-CN" w:bidi="ar-SA"/>
              </w:rPr>
            </w:pPr>
          </w:p>
        </w:tc>
        <w:tc>
          <w:tcPr>
            <w:tcW w:w="538" w:type="dxa"/>
            <w:vMerge w:val="continue"/>
            <w:vAlign w:val="top"/>
          </w:tcPr>
          <w:p>
            <w:pPr>
              <w:keepNext w:val="0"/>
              <w:keepLines w:val="0"/>
              <w:pageBreakBefore w:val="0"/>
              <w:kinsoku/>
              <w:wordWrap/>
              <w:overflowPunct/>
              <w:topLinePunct w:val="0"/>
              <w:bidi w:val="0"/>
              <w:adjustRightInd/>
              <w:spacing w:line="480" w:lineRule="exact"/>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spacing w:before="108"/>
              <w:ind w:left="121"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45" w:line="480" w:lineRule="exact"/>
              <w:ind w:left="121"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w:t>
            </w:r>
            <w:r>
              <w:rPr>
                <w:rFonts w:hint="eastAsia" w:ascii="仿宋" w:hAnsi="仿宋" w:eastAsia="仿宋" w:cs="仿宋"/>
                <w:sz w:val="18"/>
                <w:szCs w:val="18"/>
              </w:rPr>
              <w:t>jc0112</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大学英语</w:t>
            </w:r>
          </w:p>
        </w:tc>
        <w:tc>
          <w:tcPr>
            <w:tcW w:w="366" w:type="dxa"/>
            <w:vAlign w:val="top"/>
          </w:tcPr>
          <w:p>
            <w:pPr>
              <w:pStyle w:val="10"/>
              <w:ind w:left="0" w:leftChars="0"/>
              <w:jc w:val="center"/>
              <w:rPr>
                <w:rFonts w:hint="eastAsia" w:ascii="仿宋" w:hAnsi="仿宋" w:eastAsia="仿宋" w:cs="仿宋"/>
                <w:kern w:val="2"/>
                <w:sz w:val="18"/>
                <w:szCs w:val="18"/>
                <w:lang w:val="en-US" w:eastAsia="zh-CN" w:bidi="ar-SA"/>
              </w:rPr>
            </w:pPr>
          </w:p>
        </w:tc>
        <w:tc>
          <w:tcPr>
            <w:tcW w:w="538" w:type="dxa"/>
            <w:vMerge w:val="continue"/>
            <w:vAlign w:val="top"/>
          </w:tcPr>
          <w:p>
            <w:pPr>
              <w:ind w:left="0" w:lef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keepNext w:val="0"/>
              <w:keepLines w:val="0"/>
              <w:pageBreakBefore w:val="0"/>
              <w:kinsoku/>
              <w:wordWrap/>
              <w:overflowPunct/>
              <w:topLinePunct w:val="0"/>
              <w:bidi w:val="0"/>
              <w:adjustRightInd/>
              <w:spacing w:line="480" w:lineRule="exact"/>
              <w:ind w:left="0" w:leftChars="0" w:right="206" w:righ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before="108" w:line="480" w:lineRule="exact"/>
              <w:ind w:left="121" w:leftChars="0"/>
              <w:jc w:val="center"/>
              <w:rPr>
                <w:rFonts w:hint="eastAsia" w:ascii="仿宋" w:hAnsi="仿宋" w:eastAsia="仿宋" w:cs="仿宋"/>
                <w:sz w:val="18"/>
                <w:szCs w:val="18"/>
              </w:rPr>
            </w:pPr>
            <w:r>
              <w:rPr>
                <w:rFonts w:hint="eastAsia" w:ascii="仿宋" w:hAnsi="仿宋" w:eastAsia="仿宋" w:cs="仿宋"/>
                <w:sz w:val="18"/>
                <w:szCs w:val="18"/>
                <w:lang w:eastAsia="zh-CN"/>
              </w:rPr>
              <w:t>G</w:t>
            </w:r>
            <w:r>
              <w:rPr>
                <w:rFonts w:hint="eastAsia" w:ascii="仿宋" w:hAnsi="仿宋" w:eastAsia="仿宋" w:cs="仿宋"/>
                <w:sz w:val="18"/>
                <w:szCs w:val="18"/>
              </w:rPr>
              <w:t>jc0111</w:t>
            </w:r>
          </w:p>
        </w:tc>
        <w:tc>
          <w:tcPr>
            <w:tcW w:w="2333"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高等数学</w:t>
            </w:r>
          </w:p>
        </w:tc>
        <w:tc>
          <w:tcPr>
            <w:tcW w:w="366" w:type="dxa"/>
            <w:vAlign w:val="top"/>
          </w:tcPr>
          <w:p>
            <w:pPr>
              <w:pStyle w:val="10"/>
              <w:keepNext w:val="0"/>
              <w:keepLines w:val="0"/>
              <w:pageBreakBefore w:val="0"/>
              <w:kinsoku/>
              <w:wordWrap/>
              <w:overflowPunct/>
              <w:topLinePunct w:val="0"/>
              <w:bidi w:val="0"/>
              <w:adjustRightInd/>
              <w:spacing w:line="480" w:lineRule="exact"/>
              <w:jc w:val="center"/>
              <w:rPr>
                <w:rFonts w:hint="eastAsia" w:ascii="仿宋" w:hAnsi="仿宋" w:eastAsia="仿宋" w:cs="仿宋"/>
                <w:kern w:val="2"/>
                <w:sz w:val="18"/>
                <w:szCs w:val="18"/>
                <w:lang w:val="en-US" w:eastAsia="zh-CN" w:bidi="ar-SA"/>
              </w:rPr>
            </w:pPr>
          </w:p>
        </w:tc>
        <w:tc>
          <w:tcPr>
            <w:tcW w:w="538" w:type="dxa"/>
            <w:vMerge w:val="continue"/>
            <w:vAlign w:val="top"/>
          </w:tcPr>
          <w:p>
            <w:pPr>
              <w:keepNext w:val="0"/>
              <w:keepLines w:val="0"/>
              <w:pageBreakBefore w:val="0"/>
              <w:kinsoku/>
              <w:wordWrap/>
              <w:overflowPunct/>
              <w:topLinePunct w:val="0"/>
              <w:bidi w:val="0"/>
              <w:adjustRightInd/>
              <w:spacing w:line="480" w:lineRule="exact"/>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pStyle w:val="10"/>
              <w:keepNext w:val="0"/>
              <w:keepLines w:val="0"/>
              <w:pageBreakBefore w:val="0"/>
              <w:kinsoku/>
              <w:wordWrap/>
              <w:overflowPunct/>
              <w:topLinePunct w:val="0"/>
              <w:bidi w:val="0"/>
              <w:adjustRightInd/>
              <w:spacing w:before="44" w:line="480" w:lineRule="exact"/>
              <w:ind w:left="0" w:leftChars="0" w:right="206" w:righ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208" w:leftChars="0" w:right="107" w:rightChars="0" w:hanging="89" w:firstLine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bidi="ar"/>
              </w:rPr>
            </w:pPr>
            <w:r>
              <w:rPr>
                <w:rFonts w:hint="eastAsia" w:ascii="仿宋" w:hAnsi="仿宋" w:eastAsia="仿宋" w:cs="仿宋"/>
                <w:kern w:val="2"/>
                <w:sz w:val="18"/>
                <w:szCs w:val="18"/>
                <w:lang w:val="en-US" w:eastAsia="zh-CN" w:bidi="ar-SA"/>
              </w:rPr>
              <w:t>wqc0212</w:t>
            </w:r>
          </w:p>
        </w:tc>
        <w:tc>
          <w:tcPr>
            <w:tcW w:w="2333" w:type="dxa"/>
            <w:vAlign w:val="top"/>
          </w:tcPr>
          <w:p>
            <w:pPr>
              <w:pStyle w:val="10"/>
              <w:spacing w:before="29"/>
              <w:ind w:left="108" w:leftChars="0"/>
              <w:jc w:val="center"/>
              <w:rPr>
                <w:rFonts w:hint="eastAsia" w:ascii="仿宋" w:hAnsi="仿宋" w:eastAsia="仿宋" w:cs="仿宋"/>
                <w:kern w:val="0"/>
                <w:sz w:val="18"/>
                <w:szCs w:val="18"/>
              </w:rPr>
            </w:pPr>
            <w:r>
              <w:rPr>
                <w:rFonts w:hint="eastAsia" w:ascii="仿宋" w:hAnsi="仿宋" w:eastAsia="仿宋" w:cs="仿宋"/>
                <w:sz w:val="18"/>
                <w:szCs w:val="18"/>
              </w:rPr>
              <w:t>汽车材料</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pStyle w:val="10"/>
              <w:spacing w:line="202" w:lineRule="exact"/>
              <w:ind w:right="206" w:rightChars="0"/>
              <w:jc w:val="right"/>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top"/>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bidi="ar"/>
              </w:rPr>
            </w:pPr>
            <w:r>
              <w:rPr>
                <w:rFonts w:hint="eastAsia" w:ascii="仿宋" w:hAnsi="仿宋" w:eastAsia="仿宋" w:cs="仿宋"/>
                <w:kern w:val="2"/>
                <w:sz w:val="18"/>
                <w:szCs w:val="18"/>
                <w:lang w:val="en-US" w:eastAsia="zh-CN" w:bidi="ar-SA"/>
              </w:rPr>
              <w:t>wqc0211</w:t>
            </w:r>
          </w:p>
        </w:tc>
        <w:tc>
          <w:tcPr>
            <w:tcW w:w="2333" w:type="dxa"/>
            <w:vAlign w:val="top"/>
          </w:tcPr>
          <w:p>
            <w:pPr>
              <w:pStyle w:val="10"/>
              <w:spacing w:before="29"/>
              <w:ind w:left="108" w:leftChars="0"/>
              <w:jc w:val="center"/>
              <w:rPr>
                <w:rFonts w:hint="eastAsia" w:ascii="仿宋" w:hAnsi="仿宋" w:eastAsia="仿宋" w:cs="仿宋"/>
                <w:kern w:val="0"/>
                <w:sz w:val="18"/>
                <w:szCs w:val="18"/>
              </w:rPr>
            </w:pPr>
            <w:r>
              <w:rPr>
                <w:rFonts w:hint="eastAsia" w:ascii="仿宋" w:hAnsi="仿宋" w:eastAsia="仿宋" w:cs="仿宋"/>
                <w:sz w:val="18"/>
                <w:szCs w:val="18"/>
              </w:rPr>
              <w:t>机械制图及CAD技术</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pStyle w:val="10"/>
              <w:spacing w:before="106"/>
              <w:ind w:right="206" w:rightChars="0"/>
              <w:jc w:val="right"/>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top"/>
          </w:tcPr>
          <w:p>
            <w:pPr>
              <w:pStyle w:val="10"/>
              <w:spacing w:line="198" w:lineRule="exact"/>
              <w:ind w:left="7" w:leftChars="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val="en-US" w:eastAsia="zh-CN" w:bidi="ar"/>
              </w:rPr>
              <w:t>wqc0210</w:t>
            </w:r>
          </w:p>
        </w:tc>
        <w:tc>
          <w:tcPr>
            <w:tcW w:w="2333" w:type="dxa"/>
            <w:vAlign w:val="center"/>
          </w:tcPr>
          <w:p>
            <w:pPr>
              <w:widowControl/>
              <w:jc w:val="center"/>
              <w:rPr>
                <w:rFonts w:hint="eastAsia" w:ascii="仿宋" w:hAnsi="仿宋" w:eastAsia="仿宋" w:cs="仿宋"/>
                <w:kern w:val="0"/>
                <w:sz w:val="18"/>
                <w:szCs w:val="18"/>
              </w:rPr>
            </w:pPr>
            <w:r>
              <w:rPr>
                <w:rFonts w:hint="eastAsia" w:ascii="仿宋" w:hAnsi="仿宋" w:eastAsia="仿宋" w:cs="仿宋"/>
                <w:kern w:val="2"/>
                <w:sz w:val="18"/>
                <w:szCs w:val="18"/>
                <w:lang w:val="en-US" w:eastAsia="zh-CN" w:bidi="ar-SA"/>
              </w:rPr>
              <w:t>传感器原理与检测技术</w:t>
            </w:r>
          </w:p>
        </w:tc>
        <w:tc>
          <w:tcPr>
            <w:tcW w:w="366" w:type="dxa"/>
            <w:vAlign w:val="center"/>
          </w:tcPr>
          <w:p>
            <w:pPr>
              <w:pStyle w:val="10"/>
              <w:jc w:val="center"/>
              <w:rPr>
                <w:rFonts w:hint="eastAsia" w:ascii="仿宋" w:hAnsi="仿宋" w:eastAsia="仿宋" w:cs="仿宋"/>
                <w:sz w:val="18"/>
                <w:szCs w:val="18"/>
              </w:rPr>
            </w:pPr>
          </w:p>
        </w:tc>
        <w:tc>
          <w:tcPr>
            <w:tcW w:w="538" w:type="dxa"/>
            <w:vMerge w:val="continue"/>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68</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pStyle w:val="10"/>
              <w:spacing w:before="108"/>
              <w:ind w:right="206" w:rightChars="0"/>
              <w:jc w:val="right"/>
              <w:rPr>
                <w:rFonts w:hint="eastAsia" w:ascii="仿宋" w:hAnsi="仿宋" w:eastAsia="仿宋" w:cs="仿宋"/>
                <w:sz w:val="18"/>
                <w:szCs w:val="18"/>
              </w:rPr>
            </w:pPr>
            <w:r>
              <w:rPr>
                <w:rFonts w:hint="eastAsia" w:ascii="仿宋" w:hAnsi="仿宋" w:eastAsia="仿宋" w:cs="仿宋"/>
                <w:sz w:val="18"/>
                <w:szCs w:val="18"/>
              </w:rPr>
              <w:t>专业基础</w:t>
            </w:r>
          </w:p>
        </w:tc>
        <w:tc>
          <w:tcPr>
            <w:tcW w:w="609" w:type="dxa"/>
            <w:vAlign w:val="top"/>
          </w:tcPr>
          <w:p>
            <w:pPr>
              <w:pStyle w:val="10"/>
              <w:spacing w:line="218" w:lineRule="exact"/>
              <w:ind w:left="208" w:leftChars="0" w:right="107" w:rightChars="0" w:hanging="89" w:firstLineChars="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bidi="ar"/>
              </w:rPr>
            </w:pPr>
            <w:r>
              <w:rPr>
                <w:rFonts w:hint="eastAsia" w:ascii="仿宋" w:hAnsi="仿宋" w:eastAsia="仿宋" w:cs="仿宋"/>
                <w:color w:val="000000"/>
                <w:kern w:val="0"/>
                <w:sz w:val="18"/>
                <w:szCs w:val="18"/>
                <w:lang w:eastAsia="zh-CN" w:bidi="ar"/>
              </w:rPr>
              <w:t>w</w:t>
            </w:r>
            <w:r>
              <w:rPr>
                <w:rFonts w:hint="eastAsia" w:ascii="仿宋" w:hAnsi="仿宋" w:eastAsia="仿宋" w:cs="仿宋"/>
                <w:color w:val="000000"/>
                <w:kern w:val="0"/>
                <w:sz w:val="18"/>
                <w:szCs w:val="18"/>
                <w:lang w:bidi="ar"/>
              </w:rPr>
              <w:t>qc0310</w:t>
            </w:r>
          </w:p>
        </w:tc>
        <w:tc>
          <w:tcPr>
            <w:tcW w:w="2333" w:type="dxa"/>
            <w:vAlign w:val="center"/>
          </w:tcPr>
          <w:p>
            <w:pPr>
              <w:pStyle w:val="2"/>
              <w:ind w:firstLine="180" w:firstLineChars="100"/>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混合动力汽车原理与检修</w:t>
            </w:r>
          </w:p>
        </w:tc>
        <w:tc>
          <w:tcPr>
            <w:tcW w:w="366"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w:t>
            </w:r>
          </w:p>
        </w:tc>
        <w:tc>
          <w:tcPr>
            <w:tcW w:w="538" w:type="dxa"/>
            <w:vMerge w:val="continue"/>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pStyle w:val="10"/>
              <w:spacing w:line="202" w:lineRule="exact"/>
              <w:ind w:right="206" w:rightChars="0"/>
              <w:jc w:val="right"/>
              <w:rPr>
                <w:rFonts w:hint="eastAsia" w:ascii="仿宋" w:hAnsi="仿宋" w:eastAsia="仿宋" w:cs="仿宋"/>
                <w:sz w:val="18"/>
                <w:szCs w:val="18"/>
              </w:rPr>
            </w:pPr>
            <w:r>
              <w:rPr>
                <w:rFonts w:hint="eastAsia" w:ascii="仿宋" w:hAnsi="仿宋" w:eastAsia="仿宋" w:cs="仿宋"/>
                <w:sz w:val="18"/>
                <w:szCs w:val="18"/>
              </w:rPr>
              <w:t>专业核心</w:t>
            </w:r>
          </w:p>
        </w:tc>
        <w:tc>
          <w:tcPr>
            <w:tcW w:w="609" w:type="dxa"/>
            <w:vAlign w:val="top"/>
          </w:tcPr>
          <w:p>
            <w:pPr>
              <w:pStyle w:val="10"/>
              <w:jc w:val="center"/>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eastAsia="zh-CN" w:bidi="ar"/>
              </w:rPr>
            </w:pPr>
            <w:r>
              <w:rPr>
                <w:rFonts w:hint="eastAsia" w:ascii="仿宋" w:hAnsi="仿宋" w:eastAsia="仿宋" w:cs="仿宋"/>
                <w:sz w:val="18"/>
                <w:szCs w:val="18"/>
                <w:lang w:eastAsia="zh-CN"/>
              </w:rPr>
              <w:t>G</w:t>
            </w:r>
            <w:r>
              <w:rPr>
                <w:rFonts w:hint="eastAsia" w:ascii="仿宋" w:hAnsi="仿宋" w:eastAsia="仿宋" w:cs="仿宋"/>
                <w:sz w:val="18"/>
                <w:szCs w:val="18"/>
              </w:rPr>
              <w:t>jc0110</w:t>
            </w:r>
          </w:p>
        </w:tc>
        <w:tc>
          <w:tcPr>
            <w:tcW w:w="2333" w:type="dxa"/>
            <w:vAlign w:val="center"/>
          </w:tcPr>
          <w:p>
            <w:pPr>
              <w:pStyle w:val="2"/>
              <w:ind w:firstLine="180" w:firstLineChars="100"/>
              <w:rPr>
                <w:rFonts w:hint="eastAsia" w:ascii="仿宋" w:hAnsi="仿宋" w:eastAsia="仿宋" w:cs="仿宋"/>
                <w:color w:val="000000"/>
                <w:kern w:val="0"/>
                <w:sz w:val="18"/>
                <w:szCs w:val="18"/>
                <w:lang w:val="en-US" w:eastAsia="zh-CN" w:bidi="ar"/>
              </w:rPr>
            </w:pPr>
            <w:r>
              <w:rPr>
                <w:rFonts w:hint="eastAsia" w:ascii="仿宋" w:hAnsi="仿宋" w:eastAsia="仿宋" w:cs="仿宋"/>
                <w:kern w:val="2"/>
                <w:sz w:val="18"/>
                <w:szCs w:val="18"/>
                <w:lang w:val="en-US" w:eastAsia="zh-CN" w:bidi="ar-SA"/>
              </w:rPr>
              <w:t>职业发展与就业指导</w:t>
            </w:r>
          </w:p>
        </w:tc>
        <w:tc>
          <w:tcPr>
            <w:tcW w:w="366" w:type="dxa"/>
            <w:vAlign w:val="center"/>
          </w:tcPr>
          <w:p>
            <w:pPr>
              <w:pStyle w:val="10"/>
              <w:jc w:val="center"/>
              <w:rPr>
                <w:rFonts w:hint="eastAsia" w:ascii="仿宋" w:hAnsi="仿宋" w:eastAsia="仿宋" w:cs="仿宋"/>
                <w:sz w:val="18"/>
                <w:szCs w:val="18"/>
              </w:rPr>
            </w:pPr>
          </w:p>
        </w:tc>
        <w:tc>
          <w:tcPr>
            <w:tcW w:w="538" w:type="dxa"/>
            <w:tcBorders>
              <w:bottom w:val="nil"/>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w:t>
            </w:r>
          </w:p>
        </w:tc>
        <w:tc>
          <w:tcPr>
            <w:tcW w:w="539"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48</w:t>
            </w:r>
          </w:p>
        </w:tc>
        <w:tc>
          <w:tcPr>
            <w:tcW w:w="583" w:type="dxa"/>
            <w:vAlign w:val="top"/>
          </w:tcPr>
          <w:p>
            <w:pPr>
              <w:pStyle w:val="10"/>
              <w:spacing w:line="202" w:lineRule="exact"/>
              <w:ind w:left="229" w:leftChars="0"/>
              <w:jc w:val="both"/>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16</w:t>
            </w:r>
          </w:p>
        </w:tc>
        <w:tc>
          <w:tcPr>
            <w:tcW w:w="718"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w:t>
            </w:r>
          </w:p>
        </w:tc>
        <w:tc>
          <w:tcPr>
            <w:tcW w:w="1177"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sz w:val="18"/>
                <w:szCs w:val="18"/>
              </w:rPr>
            </w:pPr>
          </w:p>
        </w:tc>
        <w:tc>
          <w:tcPr>
            <w:tcW w:w="766"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Gjc115</w:t>
            </w:r>
          </w:p>
        </w:tc>
        <w:tc>
          <w:tcPr>
            <w:tcW w:w="2333"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360" w:firstLineChars="200"/>
              <w:jc w:val="both"/>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劳动教育</w:t>
            </w:r>
          </w:p>
        </w:tc>
        <w:tc>
          <w:tcPr>
            <w:tcW w:w="36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eastAsia" w:ascii="仿宋" w:hAnsi="仿宋" w:eastAsia="仿宋" w:cs="仿宋"/>
                <w:sz w:val="18"/>
                <w:szCs w:val="18"/>
              </w:rPr>
            </w:pPr>
          </w:p>
        </w:tc>
        <w:tc>
          <w:tcPr>
            <w:tcW w:w="538" w:type="dxa"/>
            <w:tcBorders>
              <w:bottom w:val="nil"/>
            </w:tcBorders>
            <w:vAlign w:val="top"/>
          </w:tcPr>
          <w:p>
            <w:pPr>
              <w:pStyle w:val="10"/>
              <w:spacing w:line="202" w:lineRule="exact"/>
              <w:ind w:left="229" w:leftChars="0"/>
              <w:jc w:val="both"/>
              <w:rPr>
                <w:rFonts w:hint="eastAsia" w:ascii="仿宋" w:hAnsi="仿宋" w:eastAsia="仿宋" w:cs="仿宋"/>
                <w:sz w:val="18"/>
                <w:szCs w:val="18"/>
              </w:rPr>
            </w:pPr>
          </w:p>
        </w:tc>
        <w:tc>
          <w:tcPr>
            <w:tcW w:w="563" w:type="dxa"/>
            <w:vAlign w:val="top"/>
          </w:tcPr>
          <w:p>
            <w:pPr>
              <w:pStyle w:val="10"/>
              <w:spacing w:line="202" w:lineRule="exact"/>
              <w:ind w:left="229" w:leftChars="0"/>
              <w:jc w:val="both"/>
              <w:rPr>
                <w:rFonts w:hint="eastAsia" w:ascii="仿宋" w:hAnsi="仿宋" w:eastAsia="仿宋" w:cs="仿宋"/>
                <w:sz w:val="18"/>
                <w:szCs w:val="18"/>
                <w:lang w:val="en-US" w:eastAsia="zh-CN"/>
              </w:rPr>
            </w:pPr>
          </w:p>
          <w:p>
            <w:pPr>
              <w:pStyle w:val="10"/>
              <w:spacing w:line="202" w:lineRule="exact"/>
              <w:ind w:left="229" w:leftChars="0"/>
              <w:jc w:val="both"/>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539" w:type="dxa"/>
            <w:vAlign w:val="top"/>
          </w:tcPr>
          <w:p>
            <w:pPr>
              <w:pStyle w:val="10"/>
              <w:spacing w:line="202" w:lineRule="exact"/>
              <w:ind w:left="229" w:leftChars="0"/>
              <w:jc w:val="both"/>
              <w:rPr>
                <w:rFonts w:hint="eastAsia" w:ascii="仿宋" w:hAnsi="仿宋" w:eastAsia="仿宋" w:cs="仿宋"/>
                <w:sz w:val="18"/>
                <w:szCs w:val="18"/>
                <w:lang w:val="en-US" w:eastAsia="zh-CN"/>
              </w:rPr>
            </w:pPr>
          </w:p>
          <w:p>
            <w:pPr>
              <w:pStyle w:val="10"/>
              <w:spacing w:line="202" w:lineRule="exact"/>
              <w:ind w:left="229" w:leftChars="0"/>
              <w:jc w:val="both"/>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18</w:t>
            </w:r>
          </w:p>
        </w:tc>
        <w:tc>
          <w:tcPr>
            <w:tcW w:w="583" w:type="dxa"/>
            <w:vAlign w:val="top"/>
          </w:tcPr>
          <w:p>
            <w:pPr>
              <w:pStyle w:val="10"/>
              <w:spacing w:line="202" w:lineRule="exact"/>
              <w:ind w:left="229" w:leftChars="0"/>
              <w:jc w:val="both"/>
              <w:rPr>
                <w:rFonts w:hint="eastAsia" w:ascii="仿宋" w:hAnsi="仿宋" w:eastAsia="仿宋" w:cs="仿宋"/>
                <w:sz w:val="18"/>
                <w:szCs w:val="18"/>
                <w:lang w:val="en-US" w:eastAsia="zh-CN"/>
              </w:rPr>
            </w:pPr>
          </w:p>
          <w:p>
            <w:pPr>
              <w:pStyle w:val="10"/>
              <w:spacing w:line="202" w:lineRule="exact"/>
              <w:ind w:left="229" w:leftChars="0"/>
              <w:jc w:val="both"/>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18</w:t>
            </w:r>
          </w:p>
        </w:tc>
        <w:tc>
          <w:tcPr>
            <w:tcW w:w="520" w:type="dxa"/>
            <w:vAlign w:val="top"/>
          </w:tcPr>
          <w:p>
            <w:pPr>
              <w:pStyle w:val="10"/>
              <w:spacing w:line="202" w:lineRule="exact"/>
              <w:ind w:left="229" w:leftChars="0"/>
              <w:jc w:val="both"/>
              <w:rPr>
                <w:rFonts w:hint="eastAsia" w:ascii="仿宋" w:hAnsi="仿宋" w:eastAsia="仿宋" w:cs="仿宋"/>
                <w:sz w:val="18"/>
                <w:szCs w:val="18"/>
                <w:lang w:val="en-US" w:eastAsia="zh-CN"/>
              </w:rPr>
            </w:pPr>
          </w:p>
          <w:p>
            <w:pPr>
              <w:pStyle w:val="10"/>
              <w:spacing w:line="202" w:lineRule="exact"/>
              <w:ind w:left="229" w:leftChars="0"/>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both"/>
              <w:textAlignment w:val="auto"/>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 xml:space="preserve">     1</w:t>
            </w:r>
          </w:p>
        </w:tc>
        <w:tc>
          <w:tcPr>
            <w:tcW w:w="1177" w:type="dxa"/>
            <w:vAlign w:val="top"/>
          </w:tcPr>
          <w:p>
            <w:pPr>
              <w:pStyle w:val="10"/>
              <w:keepNext w:val="0"/>
              <w:keepLines w:val="0"/>
              <w:pageBreakBefore w:val="0"/>
              <w:kinsoku/>
              <w:wordWrap/>
              <w:overflowPunct/>
              <w:topLinePunct w:val="0"/>
              <w:bidi w:val="0"/>
              <w:adjustRightInd/>
              <w:spacing w:before="29" w:line="480" w:lineRule="exact"/>
              <w:ind w:left="108" w:leftChars="0"/>
              <w:jc w:val="both"/>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center"/>
          </w:tcPr>
          <w:p>
            <w:pPr>
              <w:keepNext w:val="0"/>
              <w:keepLines w:val="0"/>
              <w:pageBreakBefore w:val="0"/>
              <w:kinsoku/>
              <w:wordWrap/>
              <w:overflowPunct/>
              <w:topLinePunct w:val="0"/>
              <w:bidi w:val="0"/>
              <w:adjustRightInd/>
              <w:spacing w:line="480" w:lineRule="exact"/>
              <w:ind w:left="0" w:leftChars="0"/>
              <w:jc w:val="both"/>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Gjc0109</w:t>
            </w:r>
          </w:p>
        </w:tc>
        <w:tc>
          <w:tcPr>
            <w:tcW w:w="2333" w:type="dxa"/>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大学生创新创业基础</w:t>
            </w:r>
          </w:p>
        </w:tc>
        <w:tc>
          <w:tcPr>
            <w:tcW w:w="366"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p>
        </w:tc>
        <w:tc>
          <w:tcPr>
            <w:tcW w:w="538" w:type="dxa"/>
            <w:tcBorders>
              <w:bottom w:val="nil"/>
            </w:tcBorders>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leftChars="0"/>
              <w:jc w:val="center"/>
              <w:rPr>
                <w:rFonts w:hint="eastAsia" w:ascii="仿宋" w:hAnsi="仿宋" w:eastAsia="仿宋" w:cs="仿宋"/>
                <w:sz w:val="18"/>
                <w:szCs w:val="18"/>
                <w:lang w:val="en-US" w:eastAsia="zh-CN"/>
              </w:rPr>
            </w:pPr>
          </w:p>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leftChars="0"/>
              <w:jc w:val="center"/>
              <w:rPr>
                <w:rFonts w:hint="eastAsia" w:ascii="仿宋" w:hAnsi="仿宋" w:eastAsia="仿宋" w:cs="仿宋"/>
                <w:sz w:val="18"/>
                <w:szCs w:val="18"/>
                <w:lang w:val="en-US" w:eastAsia="zh-CN"/>
              </w:rPr>
            </w:pPr>
          </w:p>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leftChars="0"/>
              <w:jc w:val="center"/>
              <w:rPr>
                <w:rFonts w:hint="eastAsia" w:ascii="仿宋" w:hAnsi="仿宋" w:eastAsia="仿宋" w:cs="仿宋"/>
                <w:sz w:val="18"/>
                <w:szCs w:val="18"/>
                <w:lang w:val="en-US" w:eastAsia="zh-CN"/>
              </w:rPr>
            </w:pPr>
          </w:p>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16</w:t>
            </w:r>
          </w:p>
        </w:tc>
        <w:tc>
          <w:tcPr>
            <w:tcW w:w="520" w:type="dxa"/>
            <w:vAlign w:val="top"/>
          </w:tcPr>
          <w:p>
            <w:pPr>
              <w:pStyle w:val="10"/>
              <w:spacing w:line="202" w:lineRule="exact"/>
              <w:ind w:left="229" w:leftChars="0"/>
              <w:jc w:val="center"/>
              <w:rPr>
                <w:rFonts w:hint="eastAsia" w:ascii="仿宋" w:hAnsi="仿宋" w:eastAsia="仿宋" w:cs="仿宋"/>
                <w:sz w:val="18"/>
                <w:szCs w:val="18"/>
                <w:lang w:val="en-US" w:eastAsia="zh-CN"/>
              </w:rPr>
            </w:pPr>
          </w:p>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16</w:t>
            </w:r>
          </w:p>
        </w:tc>
        <w:tc>
          <w:tcPr>
            <w:tcW w:w="718" w:type="dxa"/>
            <w:vAlign w:val="top"/>
          </w:tcPr>
          <w:p>
            <w:pPr>
              <w:pStyle w:val="10"/>
              <w:spacing w:line="202" w:lineRule="exact"/>
              <w:ind w:left="229" w:leftChars="0"/>
              <w:jc w:val="center"/>
              <w:rPr>
                <w:rFonts w:hint="eastAsia" w:ascii="仿宋" w:hAnsi="仿宋" w:eastAsia="仿宋" w:cs="仿宋"/>
                <w:sz w:val="18"/>
                <w:szCs w:val="18"/>
                <w:lang w:val="en-US" w:eastAsia="zh-CN"/>
              </w:rPr>
            </w:pPr>
          </w:p>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1177" w:type="dxa"/>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firstLine="0" w:firstLineChars="0"/>
              <w:jc w:val="center"/>
              <w:textAlignment w:val="auto"/>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before="29" w:line="480" w:lineRule="exact"/>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sz w:val="18"/>
                <w:szCs w:val="18"/>
                <w:lang w:val="en-US" w:eastAsia="zh-CN"/>
              </w:rPr>
            </w:pPr>
          </w:p>
        </w:tc>
        <w:tc>
          <w:tcPr>
            <w:tcW w:w="2333" w:type="dxa"/>
            <w:vAlign w:val="top"/>
          </w:tcPr>
          <w:p>
            <w:pPr>
              <w:pStyle w:val="10"/>
              <w:spacing w:before="29"/>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形式与政策</w:t>
            </w:r>
          </w:p>
        </w:tc>
        <w:tc>
          <w:tcPr>
            <w:tcW w:w="366" w:type="dxa"/>
            <w:vAlign w:val="center"/>
          </w:tcPr>
          <w:p>
            <w:pPr>
              <w:pStyle w:val="10"/>
              <w:jc w:val="center"/>
              <w:rPr>
                <w:rFonts w:hint="eastAsia" w:ascii="仿宋" w:hAnsi="仿宋" w:eastAsia="仿宋" w:cs="仿宋"/>
                <w:kern w:val="2"/>
                <w:sz w:val="18"/>
                <w:szCs w:val="18"/>
                <w:lang w:val="en-US" w:eastAsia="zh-CN" w:bidi="ar-SA"/>
              </w:rPr>
            </w:pPr>
          </w:p>
        </w:tc>
        <w:tc>
          <w:tcPr>
            <w:tcW w:w="538" w:type="dxa"/>
            <w:tcBorders>
              <w:bottom w:val="nil"/>
            </w:tcBorders>
            <w:vAlign w:val="center"/>
          </w:tcPr>
          <w:p>
            <w:pPr>
              <w:pStyle w:val="10"/>
              <w:spacing w:before="6" w:line="218" w:lineRule="exact"/>
              <w:ind w:left="173" w:leftChars="0" w:right="163" w:righ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0.25</w:t>
            </w:r>
          </w:p>
        </w:tc>
        <w:tc>
          <w:tcPr>
            <w:tcW w:w="539"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8</w:t>
            </w:r>
          </w:p>
        </w:tc>
        <w:tc>
          <w:tcPr>
            <w:tcW w:w="58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8</w:t>
            </w:r>
          </w:p>
        </w:tc>
        <w:tc>
          <w:tcPr>
            <w:tcW w:w="520"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1177" w:type="dxa"/>
            <w:vAlign w:val="top"/>
          </w:tcPr>
          <w:p>
            <w:pPr>
              <w:pStyle w:val="10"/>
              <w:spacing w:before="45"/>
              <w:ind w:right="206" w:rightChars="0"/>
              <w:jc w:val="right"/>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公共基础</w:t>
            </w:r>
          </w:p>
        </w:tc>
        <w:tc>
          <w:tcPr>
            <w:tcW w:w="609" w:type="dxa"/>
            <w:vAlign w:val="top"/>
          </w:tcPr>
          <w:p>
            <w:pPr>
              <w:pStyle w:val="10"/>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eastAsia="zh-CN" w:bidi="ar"/>
              </w:rPr>
            </w:pPr>
          </w:p>
        </w:tc>
        <w:tc>
          <w:tcPr>
            <w:tcW w:w="2333" w:type="dxa"/>
            <w:vAlign w:val="center"/>
          </w:tcPr>
          <w:p>
            <w:pPr>
              <w:pStyle w:val="2"/>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合计</w:t>
            </w:r>
          </w:p>
        </w:tc>
        <w:tc>
          <w:tcPr>
            <w:tcW w:w="366" w:type="dxa"/>
            <w:vAlign w:val="center"/>
          </w:tcPr>
          <w:p>
            <w:pPr>
              <w:pStyle w:val="10"/>
              <w:jc w:val="center"/>
              <w:rPr>
                <w:rFonts w:hint="eastAsia" w:ascii="仿宋" w:hAnsi="仿宋" w:eastAsia="仿宋" w:cs="仿宋"/>
                <w:sz w:val="18"/>
                <w:szCs w:val="18"/>
              </w:rPr>
            </w:pPr>
          </w:p>
        </w:tc>
        <w:tc>
          <w:tcPr>
            <w:tcW w:w="538" w:type="dxa"/>
            <w:tcBorders>
              <w:bottom w:val="single" w:color="auto" w:sz="4" w:space="0"/>
            </w:tcBorders>
            <w:vAlign w:val="center"/>
          </w:tcPr>
          <w:p>
            <w:pPr>
              <w:pStyle w:val="10"/>
              <w:spacing w:before="6" w:line="218" w:lineRule="exact"/>
              <w:ind w:left="173" w:right="163"/>
              <w:jc w:val="center"/>
              <w:rPr>
                <w:rFonts w:hint="eastAsia" w:ascii="仿宋" w:hAnsi="仿宋" w:eastAsia="仿宋" w:cs="仿宋"/>
                <w:sz w:val="18"/>
                <w:szCs w:val="18"/>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31</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558</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382</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176</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31</w:t>
            </w:r>
          </w:p>
        </w:tc>
        <w:tc>
          <w:tcPr>
            <w:tcW w:w="1177" w:type="dxa"/>
            <w:vAlign w:val="top"/>
          </w:tcPr>
          <w:p>
            <w:pPr>
              <w:pStyle w:val="10"/>
              <w:spacing w:line="202" w:lineRule="exact"/>
              <w:ind w:right="206" w:rightChars="0"/>
              <w:jc w:val="right"/>
              <w:rPr>
                <w:rFonts w:hint="eastAsia" w:ascii="仿宋" w:hAnsi="仿宋" w:eastAsia="仿宋" w:cs="仿宋"/>
                <w:sz w:val="18"/>
                <w:szCs w:val="18"/>
                <w:lang w:val="en-US" w:eastAsia="zh-CN"/>
              </w:rPr>
            </w:pPr>
          </w:p>
        </w:tc>
        <w:tc>
          <w:tcPr>
            <w:tcW w:w="609" w:type="dxa"/>
            <w:vAlign w:val="top"/>
          </w:tcPr>
          <w:p>
            <w:pPr>
              <w:pStyle w:val="10"/>
              <w:jc w:val="center"/>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restart"/>
            <w:vAlign w:val="center"/>
          </w:tcPr>
          <w:p>
            <w:pPr>
              <w:pStyle w:val="10"/>
              <w:spacing w:before="1" w:line="228" w:lineRule="auto"/>
              <w:ind w:left="386" w:right="373"/>
              <w:jc w:val="center"/>
              <w:rPr>
                <w:rFonts w:hint="eastAsia" w:ascii="仿宋" w:hAnsi="仿宋" w:eastAsia="仿宋" w:cs="仿宋"/>
                <w:sz w:val="18"/>
                <w:szCs w:val="18"/>
              </w:rPr>
            </w:pPr>
            <w:r>
              <w:rPr>
                <w:rFonts w:hint="eastAsia" w:ascii="仿宋" w:hAnsi="仿宋" w:eastAsia="仿宋" w:cs="仿宋"/>
                <w:sz w:val="18"/>
                <w:szCs w:val="18"/>
              </w:rPr>
              <w:t>第</w:t>
            </w:r>
            <w:r>
              <w:rPr>
                <w:rFonts w:hint="eastAsia" w:ascii="仿宋" w:hAnsi="仿宋" w:eastAsia="仿宋" w:cs="仿宋"/>
                <w:sz w:val="18"/>
                <w:szCs w:val="18"/>
                <w:lang w:val="en-US" w:eastAsia="zh-CN"/>
              </w:rPr>
              <w:t>七</w:t>
            </w:r>
            <w:r>
              <w:rPr>
                <w:rFonts w:hint="eastAsia" w:ascii="仿宋" w:hAnsi="仿宋" w:eastAsia="仿宋" w:cs="仿宋"/>
                <w:sz w:val="18"/>
                <w:szCs w:val="18"/>
              </w:rPr>
              <w:t>学期</w:t>
            </w:r>
          </w:p>
          <w:p>
            <w:pPr>
              <w:jc w:val="center"/>
              <w:rPr>
                <w:rFonts w:hint="eastAsia" w:ascii="仿宋" w:hAnsi="仿宋" w:eastAsia="仿宋" w:cs="仿宋"/>
                <w:sz w:val="18"/>
                <w:szCs w:val="18"/>
              </w:rPr>
            </w:pPr>
            <w:r>
              <w:rPr>
                <w:rFonts w:hint="eastAsia" w:ascii="仿宋" w:hAnsi="仿宋" w:eastAsia="仿宋" w:cs="仿宋"/>
                <w:spacing w:val="-13"/>
                <w:sz w:val="18"/>
                <w:szCs w:val="18"/>
              </w:rPr>
              <w:t>（</w:t>
            </w:r>
            <w:r>
              <w:rPr>
                <w:rFonts w:hint="eastAsia" w:ascii="仿宋" w:hAnsi="仿宋" w:eastAsia="仿宋" w:cs="仿宋"/>
                <w:spacing w:val="-13"/>
                <w:sz w:val="18"/>
                <w:szCs w:val="18"/>
                <w:lang w:val="en-US" w:eastAsia="zh-CN"/>
              </w:rPr>
              <w:t>20</w:t>
            </w:r>
            <w:r>
              <w:rPr>
                <w:rFonts w:hint="eastAsia" w:ascii="仿宋" w:hAnsi="仿宋" w:eastAsia="仿宋" w:cs="仿宋"/>
                <w:spacing w:val="-12"/>
                <w:sz w:val="18"/>
                <w:szCs w:val="18"/>
              </w:rPr>
              <w:t>周）</w:t>
            </w:r>
          </w:p>
        </w:tc>
        <w:tc>
          <w:tcPr>
            <w:tcW w:w="766" w:type="dxa"/>
            <w:vAlign w:val="top"/>
          </w:tcPr>
          <w:p>
            <w:pPr>
              <w:pStyle w:val="10"/>
              <w:keepNext w:val="0"/>
              <w:keepLines w:val="0"/>
              <w:pageBreakBefore w:val="0"/>
              <w:kinsoku/>
              <w:wordWrap/>
              <w:overflowPunct/>
              <w:topLinePunct w:val="0"/>
              <w:bidi w:val="0"/>
              <w:adjustRightInd/>
              <w:spacing w:line="480" w:lineRule="exact"/>
              <w:ind w:left="121"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eastAsia="zh-CN"/>
              </w:rPr>
              <w:t>G</w:t>
            </w:r>
            <w:r>
              <w:rPr>
                <w:rFonts w:hint="eastAsia" w:ascii="仿宋" w:hAnsi="仿宋" w:eastAsia="仿宋" w:cs="仿宋"/>
                <w:sz w:val="18"/>
                <w:szCs w:val="18"/>
              </w:rPr>
              <w:t>jc0103</w:t>
            </w:r>
          </w:p>
        </w:tc>
        <w:tc>
          <w:tcPr>
            <w:tcW w:w="2333"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大学体育与健康</w:t>
            </w:r>
          </w:p>
        </w:tc>
        <w:tc>
          <w:tcPr>
            <w:tcW w:w="366" w:type="dxa"/>
            <w:tcBorders>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38" w:type="dxa"/>
            <w:vMerge w:val="restart"/>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p>
            <w:pPr>
              <w:widowControl/>
              <w:jc w:val="center"/>
              <w:rPr>
                <w:rFonts w:hint="eastAsia" w:ascii="仿宋" w:hAnsi="仿宋" w:eastAsia="仿宋" w:cs="仿宋"/>
                <w:kern w:val="2"/>
                <w:sz w:val="18"/>
                <w:szCs w:val="18"/>
                <w:lang w:val="en-US" w:eastAsia="zh-CN" w:bidi="ar-SA"/>
              </w:rPr>
            </w:pPr>
          </w:p>
          <w:p>
            <w:pPr>
              <w:widowControl/>
              <w:jc w:val="center"/>
              <w:rPr>
                <w:rFonts w:hint="eastAsia" w:ascii="仿宋" w:hAnsi="仿宋" w:eastAsia="仿宋" w:cs="仿宋"/>
                <w:kern w:val="2"/>
                <w:sz w:val="18"/>
                <w:szCs w:val="18"/>
                <w:lang w:val="en-US" w:eastAsia="zh-CN" w:bidi="ar-SA"/>
              </w:rPr>
            </w:pPr>
          </w:p>
          <w:p>
            <w:pPr>
              <w:widowControl/>
              <w:jc w:val="center"/>
              <w:rPr>
                <w:rFonts w:hint="eastAsia" w:ascii="仿宋" w:hAnsi="仿宋" w:eastAsia="仿宋" w:cs="仿宋"/>
                <w:kern w:val="2"/>
                <w:sz w:val="18"/>
                <w:szCs w:val="18"/>
                <w:lang w:val="en-US" w:eastAsia="zh-CN" w:bidi="ar-SA"/>
              </w:rPr>
            </w:pPr>
          </w:p>
          <w:p>
            <w:pPr>
              <w:widowControl/>
              <w:jc w:val="center"/>
              <w:rPr>
                <w:rFonts w:hint="eastAsia" w:ascii="仿宋" w:hAnsi="仿宋" w:eastAsia="仿宋" w:cs="仿宋"/>
                <w:kern w:val="2"/>
                <w:sz w:val="18"/>
                <w:szCs w:val="18"/>
                <w:lang w:val="en-US" w:eastAsia="zh-CN" w:bidi="ar-SA"/>
              </w:rPr>
            </w:pPr>
          </w:p>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必修</w:t>
            </w:r>
          </w:p>
        </w:tc>
        <w:tc>
          <w:tcPr>
            <w:tcW w:w="563" w:type="dxa"/>
            <w:tcBorders>
              <w:left w:val="single" w:color="auto" w:sz="4" w:space="0"/>
            </w:tcBorders>
            <w:vAlign w:val="top"/>
          </w:tcPr>
          <w:p>
            <w:pPr>
              <w:pStyle w:val="10"/>
              <w:spacing w:line="202" w:lineRule="exact"/>
              <w:ind w:left="229" w:left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leftChars="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top"/>
          </w:tcPr>
          <w:p>
            <w:pPr>
              <w:pStyle w:val="10"/>
              <w:spacing w:line="202" w:lineRule="exact"/>
              <w:ind w:left="229" w:leftChars="0"/>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5.3</w:t>
            </w:r>
          </w:p>
        </w:tc>
        <w:tc>
          <w:tcPr>
            <w:tcW w:w="520" w:type="dxa"/>
            <w:vAlign w:val="top"/>
          </w:tcPr>
          <w:p>
            <w:pPr>
              <w:pStyle w:val="10"/>
              <w:spacing w:line="202" w:lineRule="exact"/>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30.6</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val="en-US" w:eastAsia="zh-CN"/>
              </w:rPr>
              <w:t>Gjc116</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习近平新时代中国特色社会主义思想概论</w:t>
            </w:r>
          </w:p>
        </w:tc>
        <w:tc>
          <w:tcPr>
            <w:tcW w:w="366" w:type="dxa"/>
            <w:tcBorders>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38" w:type="dxa"/>
            <w:vMerge w:val="continue"/>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38</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rPr>
                <w:rFonts w:hint="eastAsia" w:ascii="仿宋" w:hAnsi="仿宋" w:eastAsia="仿宋" w:cs="仿宋"/>
                <w:sz w:val="18"/>
                <w:szCs w:val="18"/>
              </w:rPr>
            </w:pPr>
            <w:r>
              <w:rPr>
                <w:rFonts w:hint="eastAsia" w:ascii="仿宋" w:hAnsi="仿宋" w:eastAsia="仿宋" w:cs="仿宋"/>
                <w:sz w:val="18"/>
                <w:szCs w:val="18"/>
                <w:lang w:val="en-US" w:eastAsia="zh-CN"/>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val="en-US" w:eastAsia="zh-CN"/>
              </w:rPr>
              <w:t>Gjc0111</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高等数学</w:t>
            </w:r>
          </w:p>
        </w:tc>
        <w:tc>
          <w:tcPr>
            <w:tcW w:w="366" w:type="dxa"/>
            <w:tcBorders>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38" w:type="dxa"/>
            <w:vMerge w:val="continue"/>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val="en-US" w:eastAsia="zh-CN" w:bidi="ar"/>
              </w:rPr>
            </w:pPr>
            <w:r>
              <w:rPr>
                <w:rFonts w:hint="eastAsia" w:ascii="仿宋" w:hAnsi="仿宋" w:eastAsia="仿宋" w:cs="仿宋"/>
                <w:sz w:val="18"/>
                <w:szCs w:val="18"/>
                <w:lang w:val="en-US" w:eastAsia="zh-CN"/>
              </w:rPr>
              <w:t>G</w:t>
            </w:r>
            <w:r>
              <w:rPr>
                <w:rFonts w:hint="eastAsia" w:ascii="仿宋" w:hAnsi="仿宋" w:eastAsia="仿宋" w:cs="仿宋"/>
                <w:sz w:val="18"/>
                <w:szCs w:val="18"/>
              </w:rPr>
              <w:t>jc0114</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中华优秀传统文化</w:t>
            </w:r>
          </w:p>
        </w:tc>
        <w:tc>
          <w:tcPr>
            <w:tcW w:w="366" w:type="dxa"/>
            <w:tcBorders>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38" w:type="dxa"/>
            <w:vMerge w:val="continue"/>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专业选修</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bidi="ar"/>
              </w:rPr>
            </w:pPr>
            <w:r>
              <w:rPr>
                <w:rFonts w:hint="eastAsia" w:ascii="仿宋" w:hAnsi="仿宋" w:eastAsia="仿宋" w:cs="仿宋"/>
                <w:kern w:val="2"/>
                <w:sz w:val="18"/>
                <w:szCs w:val="18"/>
                <w:lang w:val="en-US" w:eastAsia="zh-CN" w:bidi="ar-SA"/>
              </w:rPr>
              <w:t>wqc0207</w:t>
            </w:r>
          </w:p>
        </w:tc>
        <w:tc>
          <w:tcPr>
            <w:tcW w:w="2333"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单片机原理</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3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42</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专业基础</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wqc0314</w:t>
            </w:r>
          </w:p>
        </w:tc>
        <w:tc>
          <w:tcPr>
            <w:tcW w:w="2333"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驱动电机及控制技术</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t>
            </w:r>
          </w:p>
        </w:tc>
        <w:tc>
          <w:tcPr>
            <w:tcW w:w="53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42</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专业核心</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wqc0209</w:t>
            </w:r>
          </w:p>
        </w:tc>
        <w:tc>
          <w:tcPr>
            <w:tcW w:w="2333"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大学英语</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3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专业基础</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wqc0315</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充电系统结构原理与检修</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t>
            </w:r>
          </w:p>
        </w:tc>
        <w:tc>
          <w:tcPr>
            <w:tcW w:w="53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68</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专业核心</w:t>
            </w:r>
          </w:p>
        </w:tc>
        <w:tc>
          <w:tcPr>
            <w:tcW w:w="609" w:type="dxa"/>
            <w:vAlign w:val="top"/>
          </w:tcPr>
          <w:p>
            <w:pPr>
              <w:pStyle w:val="10"/>
              <w:spacing w:line="198" w:lineRule="exact"/>
              <w:ind w:left="7" w:leftChars="0"/>
              <w:jc w:val="both"/>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Align w:val="center"/>
          </w:tcPr>
          <w:p>
            <w:pPr>
              <w:jc w:val="center"/>
              <w:rPr>
                <w:rFonts w:hint="eastAsia" w:ascii="仿宋" w:hAnsi="仿宋" w:eastAsia="仿宋" w:cs="仿宋"/>
                <w:sz w:val="18"/>
                <w:szCs w:val="18"/>
              </w:rPr>
            </w:pPr>
          </w:p>
        </w:tc>
        <w:tc>
          <w:tcPr>
            <w:tcW w:w="766" w:type="dxa"/>
            <w:vAlign w:val="center"/>
          </w:tcPr>
          <w:tbl>
            <w:tblPr>
              <w:tblStyle w:val="6"/>
              <w:tblW w:w="7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trPr>
              <w:tc>
                <w:tcPr>
                  <w:tcW w:w="756" w:type="dxa"/>
                  <w:shd w:val="clear" w:color="auto" w:fill="auto"/>
                  <w:vAlign w:val="center"/>
                </w:tcPr>
                <w:p>
                  <w:pPr>
                    <w:keepNext w:val="0"/>
                    <w:keepLines w:val="0"/>
                    <w:widowControl/>
                    <w:suppressLineNumbers w:val="0"/>
                    <w:wordWrap/>
                    <w:spacing w:line="240" w:lineRule="auto"/>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wqc0401</w:t>
                  </w:r>
                </w:p>
              </w:tc>
            </w:tr>
          </w:tbl>
          <w:p>
            <w:pPr>
              <w:jc w:val="both"/>
              <w:rPr>
                <w:rFonts w:hint="eastAsia" w:ascii="仿宋" w:hAnsi="仿宋" w:eastAsia="仿宋" w:cs="仿宋"/>
                <w:color w:val="000000"/>
                <w:kern w:val="0"/>
                <w:sz w:val="18"/>
                <w:szCs w:val="18"/>
                <w:lang w:bidi="ar"/>
              </w:rPr>
            </w:pP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汽车维修业务接待</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选修</w:t>
            </w: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42</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专业选修</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both"/>
              <w:rPr>
                <w:rFonts w:hint="eastAsia" w:ascii="仿宋" w:hAnsi="仿宋" w:eastAsia="仿宋" w:cs="仿宋"/>
                <w:color w:val="000000"/>
                <w:kern w:val="0"/>
                <w:sz w:val="18"/>
                <w:szCs w:val="18"/>
                <w:lang w:bidi="ar"/>
              </w:rPr>
            </w:pP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影视鉴赏</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38"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专业选修</w:t>
            </w:r>
          </w:p>
        </w:tc>
        <w:tc>
          <w:tcPr>
            <w:tcW w:w="609" w:type="dxa"/>
            <w:vAlign w:val="top"/>
          </w:tcPr>
          <w:p>
            <w:pPr>
              <w:pStyle w:val="10"/>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both"/>
              <w:rPr>
                <w:rFonts w:hint="eastAsia" w:ascii="仿宋" w:hAnsi="仿宋" w:eastAsia="仿宋" w:cs="仿宋"/>
                <w:color w:val="000000"/>
                <w:kern w:val="0"/>
                <w:sz w:val="18"/>
                <w:szCs w:val="18"/>
                <w:lang w:bidi="ar"/>
              </w:rPr>
            </w:pPr>
          </w:p>
        </w:tc>
        <w:tc>
          <w:tcPr>
            <w:tcW w:w="2333" w:type="dxa"/>
            <w:vAlign w:val="top"/>
          </w:tcPr>
          <w:p>
            <w:pPr>
              <w:pStyle w:val="10"/>
              <w:spacing w:before="29"/>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形式与政策</w:t>
            </w:r>
          </w:p>
        </w:tc>
        <w:tc>
          <w:tcPr>
            <w:tcW w:w="366" w:type="dxa"/>
            <w:tcBorders>
              <w:right w:val="single" w:color="auto" w:sz="4" w:space="0"/>
            </w:tcBorders>
            <w:vAlign w:val="center"/>
          </w:tcPr>
          <w:p>
            <w:pPr>
              <w:pStyle w:val="10"/>
              <w:jc w:val="center"/>
              <w:rPr>
                <w:rFonts w:hint="eastAsia" w:ascii="仿宋" w:hAnsi="仿宋" w:eastAsia="仿宋" w:cs="仿宋"/>
                <w:kern w:val="2"/>
                <w:sz w:val="18"/>
                <w:szCs w:val="18"/>
                <w:lang w:val="en-US" w:eastAsia="zh-CN" w:bidi="ar-SA"/>
              </w:rPr>
            </w:pPr>
          </w:p>
        </w:tc>
        <w:tc>
          <w:tcPr>
            <w:tcW w:w="538" w:type="dxa"/>
            <w:tcBorders>
              <w:top w:val="single" w:color="auto" w:sz="4" w:space="0"/>
              <w:left w:val="single" w:color="auto" w:sz="4" w:space="0"/>
              <w:bottom w:val="single" w:color="auto" w:sz="4" w:space="0"/>
              <w:right w:val="single" w:color="auto" w:sz="4" w:space="0"/>
            </w:tcBorders>
            <w:vAlign w:val="center"/>
          </w:tcPr>
          <w:p>
            <w:pPr>
              <w:pStyle w:val="10"/>
              <w:spacing w:before="6" w:line="218" w:lineRule="exact"/>
              <w:ind w:left="173" w:leftChars="0" w:right="163" w:rightChars="0"/>
              <w:jc w:val="center"/>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0.25</w:t>
            </w:r>
          </w:p>
        </w:tc>
        <w:tc>
          <w:tcPr>
            <w:tcW w:w="539"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8</w:t>
            </w:r>
          </w:p>
        </w:tc>
        <w:tc>
          <w:tcPr>
            <w:tcW w:w="58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8</w:t>
            </w:r>
          </w:p>
        </w:tc>
        <w:tc>
          <w:tcPr>
            <w:tcW w:w="520"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1177" w:type="dxa"/>
            <w:vAlign w:val="top"/>
          </w:tcPr>
          <w:p>
            <w:pPr>
              <w:pStyle w:val="10"/>
              <w:spacing w:before="45"/>
              <w:ind w:right="206" w:rightChars="0"/>
              <w:jc w:val="right"/>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公共基础</w:t>
            </w:r>
          </w:p>
        </w:tc>
        <w:tc>
          <w:tcPr>
            <w:tcW w:w="609" w:type="dxa"/>
            <w:vAlign w:val="top"/>
          </w:tcPr>
          <w:p>
            <w:pPr>
              <w:pStyle w:val="10"/>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bidi="ar"/>
              </w:rPr>
            </w:pP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合计</w:t>
            </w:r>
          </w:p>
        </w:tc>
        <w:tc>
          <w:tcPr>
            <w:tcW w:w="366" w:type="dxa"/>
            <w:vAlign w:val="center"/>
          </w:tcPr>
          <w:p>
            <w:pPr>
              <w:widowControl/>
              <w:jc w:val="center"/>
              <w:rPr>
                <w:rFonts w:hint="eastAsia" w:ascii="仿宋" w:hAnsi="仿宋" w:eastAsia="仿宋" w:cs="仿宋"/>
                <w:kern w:val="2"/>
                <w:sz w:val="18"/>
                <w:szCs w:val="18"/>
                <w:lang w:val="en-US" w:eastAsia="zh-CN" w:bidi="ar-SA"/>
              </w:rPr>
            </w:pPr>
          </w:p>
        </w:tc>
        <w:tc>
          <w:tcPr>
            <w:tcW w:w="538" w:type="dxa"/>
            <w:tcBorders>
              <w:top w:val="single" w:color="auto" w:sz="4" w:space="0"/>
              <w:bottom w:val="nil"/>
            </w:tcBorders>
            <w:vAlign w:val="center"/>
          </w:tcPr>
          <w:p>
            <w:pPr>
              <w:widowControl/>
              <w:jc w:val="center"/>
              <w:rPr>
                <w:rFonts w:hint="eastAsia" w:ascii="仿宋" w:hAnsi="仿宋" w:eastAsia="仿宋" w:cs="仿宋"/>
                <w:kern w:val="2"/>
                <w:sz w:val="18"/>
                <w:szCs w:val="18"/>
                <w:lang w:val="en-US" w:eastAsia="zh-CN" w:bidi="ar-SA"/>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sum(F44:F54)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30.25</w:t>
            </w:r>
            <w:r>
              <w:rPr>
                <w:rFonts w:hint="eastAsia" w:ascii="仿宋" w:hAnsi="仿宋" w:eastAsia="仿宋" w:cs="仿宋"/>
                <w:sz w:val="18"/>
                <w:szCs w:val="18"/>
                <w:lang w:val="en-US" w:eastAsia="zh-CN"/>
              </w:rPr>
              <w:fldChar w:fldCharType="end"/>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sum(G44:G54)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528</w:t>
            </w:r>
            <w:r>
              <w:rPr>
                <w:rFonts w:hint="eastAsia" w:ascii="仿宋" w:hAnsi="仿宋" w:eastAsia="仿宋" w:cs="仿宋"/>
                <w:sz w:val="18"/>
                <w:szCs w:val="18"/>
                <w:lang w:val="en-US" w:eastAsia="zh-CN"/>
              </w:rPr>
              <w:fldChar w:fldCharType="end"/>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sum(H44:H54)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293.3</w:t>
            </w:r>
            <w:r>
              <w:rPr>
                <w:rFonts w:hint="eastAsia" w:ascii="仿宋" w:hAnsi="仿宋" w:eastAsia="仿宋" w:cs="仿宋"/>
                <w:sz w:val="18"/>
                <w:szCs w:val="18"/>
                <w:lang w:val="en-US" w:eastAsia="zh-CN"/>
              </w:rPr>
              <w:fldChar w:fldCharType="end"/>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sum(I44:I54)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234.6</w:t>
            </w:r>
            <w:r>
              <w:rPr>
                <w:rFonts w:hint="eastAsia" w:ascii="仿宋" w:hAnsi="仿宋" w:eastAsia="仿宋" w:cs="仿宋"/>
                <w:sz w:val="18"/>
                <w:szCs w:val="18"/>
                <w:lang w:val="en-US" w:eastAsia="zh-CN"/>
              </w:rPr>
              <w:fldChar w:fldCharType="end"/>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p>
        </w:tc>
        <w:tc>
          <w:tcPr>
            <w:tcW w:w="1177" w:type="dxa"/>
            <w:vAlign w:val="top"/>
          </w:tcPr>
          <w:p>
            <w:pPr>
              <w:widowControl/>
              <w:jc w:val="center"/>
              <w:rPr>
                <w:rFonts w:hint="eastAsia" w:ascii="仿宋" w:hAnsi="仿宋" w:eastAsia="仿宋" w:cs="仿宋"/>
                <w:kern w:val="2"/>
                <w:sz w:val="18"/>
                <w:szCs w:val="18"/>
                <w:lang w:val="en-US" w:eastAsia="zh-CN" w:bidi="ar-SA"/>
              </w:rPr>
            </w:pPr>
          </w:p>
        </w:tc>
        <w:tc>
          <w:tcPr>
            <w:tcW w:w="609" w:type="dxa"/>
            <w:vAlign w:val="top"/>
          </w:tcPr>
          <w:p>
            <w:pPr>
              <w:pStyle w:val="10"/>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968" w:type="dxa"/>
            <w:vMerge w:val="restart"/>
            <w:vAlign w:val="center"/>
          </w:tcPr>
          <w:p>
            <w:pPr>
              <w:pStyle w:val="2"/>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第</w:t>
            </w:r>
          </w:p>
          <w:p>
            <w:pPr>
              <w:pStyle w:val="2"/>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八</w:t>
            </w:r>
          </w:p>
          <w:p>
            <w:pPr>
              <w:pStyle w:val="2"/>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学</w:t>
            </w:r>
          </w:p>
          <w:p>
            <w:pPr>
              <w:pStyle w:val="2"/>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期</w:t>
            </w:r>
          </w:p>
          <w:p>
            <w:pPr>
              <w:pStyle w:val="2"/>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（20周）</w:t>
            </w: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bidi="ar"/>
              </w:rPr>
            </w:pPr>
            <w:r>
              <w:rPr>
                <w:rFonts w:hint="eastAsia" w:ascii="仿宋" w:hAnsi="仿宋" w:eastAsia="仿宋" w:cs="仿宋"/>
                <w:sz w:val="18"/>
                <w:szCs w:val="18"/>
                <w:lang w:val="en-US" w:eastAsia="zh-CN"/>
              </w:rPr>
              <w:t>Gjc116</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习近平新时代中国特色社会主义思想概论</w:t>
            </w:r>
          </w:p>
        </w:tc>
        <w:tc>
          <w:tcPr>
            <w:tcW w:w="366" w:type="dxa"/>
            <w:vAlign w:val="top"/>
          </w:tcPr>
          <w:p>
            <w:pPr>
              <w:widowControl/>
              <w:jc w:val="center"/>
              <w:rPr>
                <w:rFonts w:hint="eastAsia" w:ascii="仿宋" w:hAnsi="仿宋" w:eastAsia="仿宋" w:cs="仿宋"/>
                <w:kern w:val="2"/>
                <w:sz w:val="18"/>
                <w:szCs w:val="18"/>
                <w:lang w:val="en-US" w:eastAsia="zh-CN" w:bidi="ar-SA"/>
              </w:rPr>
            </w:pPr>
          </w:p>
        </w:tc>
        <w:tc>
          <w:tcPr>
            <w:tcW w:w="538" w:type="dxa"/>
            <w:vMerge w:val="restart"/>
            <w:vAlign w:val="top"/>
          </w:tcPr>
          <w:p>
            <w:pPr>
              <w:widowControl/>
              <w:jc w:val="both"/>
              <w:rPr>
                <w:rFonts w:hint="eastAsia" w:ascii="仿宋" w:hAnsi="仿宋" w:eastAsia="仿宋" w:cs="仿宋"/>
                <w:kern w:val="2"/>
                <w:sz w:val="18"/>
                <w:szCs w:val="18"/>
                <w:lang w:val="en-US" w:eastAsia="zh-CN" w:bidi="ar-SA"/>
              </w:rPr>
            </w:pPr>
          </w:p>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必修</w:t>
            </w: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38</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rPr>
                <w:rFonts w:hint="eastAsia" w:ascii="仿宋" w:hAnsi="仿宋" w:eastAsia="仿宋" w:cs="仿宋"/>
                <w:sz w:val="18"/>
                <w:szCs w:val="18"/>
              </w:rPr>
            </w:pPr>
            <w:r>
              <w:rPr>
                <w:rFonts w:hint="eastAsia" w:ascii="仿宋" w:hAnsi="仿宋" w:eastAsia="仿宋" w:cs="仿宋"/>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top"/>
          </w:tcPr>
          <w:p>
            <w:pPr>
              <w:pStyle w:val="10"/>
              <w:keepNext w:val="0"/>
              <w:keepLines w:val="0"/>
              <w:pageBreakBefore w:val="0"/>
              <w:kinsoku/>
              <w:wordWrap/>
              <w:overflowPunct/>
              <w:topLinePunct w:val="0"/>
              <w:bidi w:val="0"/>
              <w:adjustRightInd/>
              <w:spacing w:line="480" w:lineRule="exact"/>
              <w:jc w:val="both"/>
              <w:rPr>
                <w:rFonts w:hint="eastAsia" w:ascii="仿宋" w:hAnsi="仿宋" w:eastAsia="仿宋" w:cs="仿宋"/>
                <w:kern w:val="2"/>
                <w:sz w:val="18"/>
                <w:szCs w:val="18"/>
                <w:lang w:val="en-US" w:eastAsia="zh-CN" w:bidi="ar-SA"/>
              </w:rPr>
            </w:pPr>
          </w:p>
        </w:tc>
        <w:tc>
          <w:tcPr>
            <w:tcW w:w="2333" w:type="dxa"/>
            <w:vAlign w:val="top"/>
          </w:tcPr>
          <w:p>
            <w:pPr>
              <w:widowControl/>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大学美育</w:t>
            </w:r>
          </w:p>
        </w:tc>
        <w:tc>
          <w:tcPr>
            <w:tcW w:w="366" w:type="dxa"/>
            <w:vAlign w:val="top"/>
          </w:tcPr>
          <w:p>
            <w:pPr>
              <w:widowControl/>
              <w:jc w:val="center"/>
              <w:rPr>
                <w:rFonts w:hint="eastAsia" w:ascii="仿宋" w:hAnsi="仿宋" w:eastAsia="仿宋" w:cs="仿宋"/>
                <w:kern w:val="2"/>
                <w:sz w:val="18"/>
                <w:szCs w:val="18"/>
                <w:lang w:val="en-US" w:eastAsia="zh-CN" w:bidi="ar-SA"/>
              </w:rPr>
            </w:pPr>
          </w:p>
        </w:tc>
        <w:tc>
          <w:tcPr>
            <w:tcW w:w="538" w:type="dxa"/>
            <w:vMerge w:val="continue"/>
            <w:tcBorders/>
            <w:vAlign w:val="top"/>
          </w:tcPr>
          <w:p>
            <w:pPr>
              <w:widowControl/>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jc w:val="both"/>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jc w:val="center"/>
              <w:rPr>
                <w:rFonts w:hint="default"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top"/>
          </w:tcPr>
          <w:p>
            <w:pPr>
              <w:widowControl/>
              <w:ind w:firstLine="180" w:firstLineChars="100"/>
              <w:jc w:val="both"/>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wqc0316</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新能源汽车检测与诊断技术</w:t>
            </w:r>
          </w:p>
        </w:tc>
        <w:tc>
          <w:tcPr>
            <w:tcW w:w="366"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t>
            </w:r>
          </w:p>
        </w:tc>
        <w:tc>
          <w:tcPr>
            <w:tcW w:w="538" w:type="dxa"/>
            <w:vMerge w:val="continue"/>
            <w:tcBorders/>
            <w:vAlign w:val="center"/>
          </w:tcPr>
          <w:p>
            <w:pPr>
              <w:widowControl/>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58</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专业核心</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Wqc0317</w:t>
            </w:r>
          </w:p>
        </w:tc>
        <w:tc>
          <w:tcPr>
            <w:tcW w:w="2333"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纯电动车整车拆装</w:t>
            </w:r>
          </w:p>
        </w:tc>
        <w:tc>
          <w:tcPr>
            <w:tcW w:w="366" w:type="dxa"/>
            <w:tcBorders>
              <w:right w:val="single" w:color="auto" w:sz="4" w:space="0"/>
            </w:tcBorders>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w:t>
            </w:r>
          </w:p>
        </w:tc>
        <w:tc>
          <w:tcPr>
            <w:tcW w:w="538" w:type="dxa"/>
            <w:vMerge w:val="continue"/>
            <w:tcBorders>
              <w:bottom w:val="single" w:color="auto" w:sz="4" w:space="0"/>
            </w:tcBorders>
            <w:vAlign w:val="center"/>
          </w:tcPr>
          <w:p>
            <w:pPr>
              <w:widowControl/>
              <w:jc w:val="both"/>
              <w:rPr>
                <w:rFonts w:hint="eastAsia" w:ascii="仿宋" w:hAnsi="仿宋" w:eastAsia="仿宋" w:cs="仿宋"/>
                <w:kern w:val="2"/>
                <w:sz w:val="18"/>
                <w:szCs w:val="18"/>
                <w:lang w:val="en-US" w:eastAsia="zh-CN" w:bidi="ar-SA"/>
              </w:rPr>
            </w:pPr>
          </w:p>
        </w:tc>
        <w:tc>
          <w:tcPr>
            <w:tcW w:w="563" w:type="dxa"/>
            <w:tcBorders>
              <w:left w:val="single" w:color="auto" w:sz="4" w:space="0"/>
            </w:tcBorders>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39"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108</w:t>
            </w:r>
          </w:p>
        </w:tc>
        <w:tc>
          <w:tcPr>
            <w:tcW w:w="583"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50</w:t>
            </w:r>
          </w:p>
        </w:tc>
        <w:tc>
          <w:tcPr>
            <w:tcW w:w="520"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58</w:t>
            </w:r>
          </w:p>
        </w:tc>
        <w:tc>
          <w:tcPr>
            <w:tcW w:w="718" w:type="dxa"/>
            <w:vAlign w:val="top"/>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专业核心</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tbl>
            <w:tblPr>
              <w:tblStyle w:val="6"/>
              <w:tblW w:w="7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0" w:hRule="atLeast"/>
              </w:trPr>
              <w:tc>
                <w:tcPr>
                  <w:tcW w:w="756" w:type="dxa"/>
                  <w:shd w:val="clear" w:color="auto" w:fill="auto"/>
                  <w:vAlign w:val="center"/>
                </w:tcPr>
                <w:p>
                  <w:pPr>
                    <w:keepNext w:val="0"/>
                    <w:keepLines w:val="0"/>
                    <w:widowControl/>
                    <w:suppressLineNumbers w:val="0"/>
                    <w:wordWrap/>
                    <w:spacing w:line="240" w:lineRule="auto"/>
                    <w:jc w:val="center"/>
                    <w:textAlignment w:val="center"/>
                    <w:rPr>
                      <w:rFonts w:hint="eastAsia" w:ascii="仿宋" w:hAnsi="仿宋" w:eastAsia="仿宋" w:cs="仿宋"/>
                      <w:color w:val="000000"/>
                      <w:sz w:val="18"/>
                      <w:szCs w:val="18"/>
                    </w:rPr>
                  </w:pPr>
                  <w:r>
                    <w:rPr>
                      <w:rFonts w:hint="eastAsia" w:ascii="仿宋" w:hAnsi="仿宋" w:eastAsia="仿宋" w:cs="仿宋"/>
                      <w:color w:val="000000"/>
                      <w:kern w:val="0"/>
                      <w:sz w:val="18"/>
                      <w:szCs w:val="18"/>
                      <w:lang w:val="en-US" w:eastAsia="zh-CN" w:bidi="ar"/>
                    </w:rPr>
                    <w:t>wqc0402</w:t>
                  </w:r>
                </w:p>
              </w:tc>
            </w:tr>
          </w:tbl>
          <w:p>
            <w:pPr>
              <w:jc w:val="center"/>
              <w:rPr>
                <w:rFonts w:hint="eastAsia" w:ascii="仿宋" w:hAnsi="仿宋" w:eastAsia="仿宋" w:cs="仿宋"/>
                <w:color w:val="000000"/>
                <w:kern w:val="0"/>
                <w:sz w:val="18"/>
                <w:szCs w:val="18"/>
                <w:lang w:bidi="ar"/>
              </w:rPr>
            </w:pP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汽车保险与理赔</w:t>
            </w:r>
          </w:p>
        </w:tc>
        <w:tc>
          <w:tcPr>
            <w:tcW w:w="366" w:type="dxa"/>
            <w:vAlign w:val="center"/>
          </w:tcPr>
          <w:p>
            <w:pPr>
              <w:widowControl/>
              <w:jc w:val="center"/>
              <w:rPr>
                <w:rFonts w:hint="eastAsia" w:ascii="仿宋" w:hAnsi="仿宋" w:eastAsia="仿宋" w:cs="仿宋"/>
                <w:kern w:val="2"/>
                <w:sz w:val="18"/>
                <w:szCs w:val="18"/>
                <w:lang w:val="en-US" w:eastAsia="zh-CN" w:bidi="ar-SA"/>
              </w:rPr>
            </w:pPr>
          </w:p>
        </w:tc>
        <w:tc>
          <w:tcPr>
            <w:tcW w:w="538" w:type="dxa"/>
            <w:vMerge w:val="restart"/>
            <w:tcBorders>
              <w:top w:val="single" w:color="auto" w:sz="4" w:space="0"/>
            </w:tcBorders>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选</w:t>
            </w:r>
          </w:p>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修</w:t>
            </w: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52</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专业拓展课</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wqc0403</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二手车评估与交易</w:t>
            </w:r>
          </w:p>
        </w:tc>
        <w:tc>
          <w:tcPr>
            <w:tcW w:w="366" w:type="dxa"/>
            <w:vAlign w:val="center"/>
          </w:tcPr>
          <w:p>
            <w:pPr>
              <w:widowControl/>
              <w:jc w:val="center"/>
              <w:rPr>
                <w:rFonts w:hint="eastAsia" w:ascii="仿宋" w:hAnsi="仿宋" w:eastAsia="仿宋" w:cs="仿宋"/>
                <w:kern w:val="2"/>
                <w:sz w:val="18"/>
                <w:szCs w:val="18"/>
                <w:lang w:val="en-US" w:eastAsia="zh-CN" w:bidi="ar-SA"/>
              </w:rPr>
            </w:pPr>
          </w:p>
        </w:tc>
        <w:tc>
          <w:tcPr>
            <w:tcW w:w="538" w:type="dxa"/>
            <w:vMerge w:val="continue"/>
            <w:vAlign w:val="center"/>
          </w:tcPr>
          <w:p>
            <w:pPr>
              <w:widowControl/>
              <w:jc w:val="center"/>
              <w:rPr>
                <w:rFonts w:hint="eastAsia" w:ascii="仿宋" w:hAnsi="仿宋" w:eastAsia="仿宋" w:cs="仿宋"/>
                <w:kern w:val="2"/>
                <w:sz w:val="18"/>
                <w:szCs w:val="18"/>
                <w:lang w:val="en-US" w:eastAsia="zh-CN" w:bidi="ar-SA"/>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52</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专业拓展课</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Merge w:val="continue"/>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wqc0404</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汽车维修企业管理</w:t>
            </w:r>
          </w:p>
        </w:tc>
        <w:tc>
          <w:tcPr>
            <w:tcW w:w="366" w:type="dxa"/>
            <w:vAlign w:val="center"/>
          </w:tcPr>
          <w:p>
            <w:pPr>
              <w:widowControl/>
              <w:jc w:val="center"/>
              <w:rPr>
                <w:rFonts w:hint="eastAsia" w:ascii="仿宋" w:hAnsi="仿宋" w:eastAsia="仿宋" w:cs="仿宋"/>
                <w:kern w:val="2"/>
                <w:sz w:val="18"/>
                <w:szCs w:val="18"/>
                <w:lang w:val="en-US" w:eastAsia="zh-CN" w:bidi="ar-SA"/>
              </w:rPr>
            </w:pPr>
          </w:p>
        </w:tc>
        <w:tc>
          <w:tcPr>
            <w:tcW w:w="538" w:type="dxa"/>
            <w:vMerge w:val="continue"/>
            <w:vAlign w:val="center"/>
          </w:tcPr>
          <w:p>
            <w:pPr>
              <w:widowControl/>
              <w:jc w:val="center"/>
              <w:rPr>
                <w:rFonts w:hint="eastAsia" w:ascii="仿宋" w:hAnsi="仿宋" w:eastAsia="仿宋" w:cs="仿宋"/>
                <w:kern w:val="2"/>
                <w:sz w:val="18"/>
                <w:szCs w:val="18"/>
                <w:lang w:val="en-US" w:eastAsia="zh-CN" w:bidi="ar-SA"/>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72</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20</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52</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1177"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专业拓展课</w:t>
            </w:r>
          </w:p>
        </w:tc>
        <w:tc>
          <w:tcPr>
            <w:tcW w:w="609" w:type="dxa"/>
            <w:vAlign w:val="top"/>
          </w:tcPr>
          <w:p>
            <w:pPr>
              <w:pStyle w:val="10"/>
              <w:rPr>
                <w:rFonts w:hint="eastAsia" w:ascii="仿宋" w:hAnsi="仿宋" w:eastAsia="仿宋" w:cs="仿宋"/>
                <w:sz w:val="18"/>
                <w:szCs w:val="18"/>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gjc0401</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音乐鉴赏</w:t>
            </w:r>
          </w:p>
        </w:tc>
        <w:tc>
          <w:tcPr>
            <w:tcW w:w="366" w:type="dxa"/>
            <w:vAlign w:val="center"/>
          </w:tcPr>
          <w:p>
            <w:pPr>
              <w:widowControl/>
              <w:jc w:val="center"/>
              <w:rPr>
                <w:rFonts w:hint="eastAsia" w:ascii="仿宋" w:hAnsi="仿宋" w:eastAsia="仿宋" w:cs="仿宋"/>
                <w:kern w:val="2"/>
                <w:sz w:val="18"/>
                <w:szCs w:val="18"/>
                <w:lang w:val="en-US" w:eastAsia="zh-CN" w:bidi="ar-SA"/>
              </w:rPr>
            </w:pPr>
          </w:p>
        </w:tc>
        <w:tc>
          <w:tcPr>
            <w:tcW w:w="538" w:type="dxa"/>
            <w:vMerge w:val="continue"/>
            <w:tcBorders>
              <w:bottom w:val="nil"/>
            </w:tcBorders>
            <w:vAlign w:val="center"/>
          </w:tcPr>
          <w:p>
            <w:pPr>
              <w:widowControl/>
              <w:jc w:val="center"/>
              <w:rPr>
                <w:rFonts w:hint="eastAsia" w:ascii="仿宋" w:hAnsi="仿宋" w:eastAsia="仿宋" w:cs="仿宋"/>
                <w:kern w:val="2"/>
                <w:sz w:val="18"/>
                <w:szCs w:val="18"/>
                <w:lang w:val="en-US" w:eastAsia="zh-CN" w:bidi="ar-SA"/>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8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32</w:t>
            </w:r>
          </w:p>
        </w:tc>
        <w:tc>
          <w:tcPr>
            <w:tcW w:w="520"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1177"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rPr>
                <w:rFonts w:hint="eastAsia" w:ascii="仿宋" w:hAnsi="仿宋" w:eastAsia="仿宋" w:cs="仿宋"/>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r>
              <w:rPr>
                <w:rFonts w:hint="eastAsia" w:ascii="仿宋" w:hAnsi="仿宋" w:eastAsia="仿宋" w:cs="仿宋"/>
                <w:color w:val="000000"/>
                <w:kern w:val="0"/>
                <w:sz w:val="18"/>
                <w:szCs w:val="18"/>
                <w:lang w:val="en-US" w:eastAsia="zh-CN" w:bidi="ar"/>
              </w:rPr>
              <w:t>wqc0209</w:t>
            </w:r>
          </w:p>
        </w:tc>
        <w:tc>
          <w:tcPr>
            <w:tcW w:w="2333"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大学英语</w:t>
            </w:r>
          </w:p>
        </w:tc>
        <w:tc>
          <w:tcPr>
            <w:tcW w:w="366" w:type="dxa"/>
            <w:vAlign w:val="center"/>
          </w:tcPr>
          <w:p>
            <w:pPr>
              <w:widowControl/>
              <w:jc w:val="center"/>
              <w:rPr>
                <w:rFonts w:hint="eastAsia" w:ascii="仿宋" w:hAnsi="仿宋" w:eastAsia="仿宋" w:cs="仿宋"/>
                <w:kern w:val="2"/>
                <w:sz w:val="18"/>
                <w:szCs w:val="18"/>
                <w:lang w:val="en-US" w:eastAsia="zh-CN" w:bidi="ar-SA"/>
              </w:rPr>
            </w:pPr>
          </w:p>
        </w:tc>
        <w:tc>
          <w:tcPr>
            <w:tcW w:w="538" w:type="dxa"/>
            <w:tcBorders>
              <w:bottom w:val="nil"/>
            </w:tcBorders>
            <w:vAlign w:val="center"/>
          </w:tcPr>
          <w:p>
            <w:pPr>
              <w:widowControl/>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539"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32</w:t>
            </w:r>
          </w:p>
        </w:tc>
        <w:tc>
          <w:tcPr>
            <w:tcW w:w="583"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32</w:t>
            </w:r>
          </w:p>
        </w:tc>
        <w:tc>
          <w:tcPr>
            <w:tcW w:w="520"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leftChars="0"/>
              <w:jc w:val="center"/>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专业基础</w:t>
            </w:r>
          </w:p>
        </w:tc>
        <w:tc>
          <w:tcPr>
            <w:tcW w:w="609" w:type="dxa"/>
            <w:vAlign w:val="top"/>
          </w:tcPr>
          <w:p>
            <w:pPr>
              <w:pStyle w:val="10"/>
              <w:rPr>
                <w:rFonts w:hint="eastAsia" w:ascii="仿宋" w:hAnsi="仿宋" w:eastAsia="仿宋" w:cs="仿宋"/>
                <w:kern w:val="2"/>
                <w:sz w:val="18"/>
                <w:szCs w:val="18"/>
                <w:lang w:val="en-US" w:eastAsia="zh-CN" w:bidi="ar-SA"/>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color w:val="000000"/>
                <w:kern w:val="0"/>
                <w:sz w:val="18"/>
                <w:szCs w:val="18"/>
                <w:lang w:val="en-US" w:eastAsia="zh-CN" w:bidi="ar"/>
              </w:rPr>
            </w:pPr>
            <w:r>
              <w:rPr>
                <w:rFonts w:hint="eastAsia" w:ascii="仿宋" w:hAnsi="仿宋" w:eastAsia="仿宋" w:cs="仿宋"/>
                <w:sz w:val="18"/>
                <w:szCs w:val="18"/>
                <w:lang w:val="en-US" w:eastAsia="zh-CN"/>
              </w:rPr>
              <w:t>Gjc0111</w:t>
            </w:r>
          </w:p>
        </w:tc>
        <w:tc>
          <w:tcPr>
            <w:tcW w:w="2333" w:type="dxa"/>
            <w:vAlign w:val="center"/>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高等数学</w:t>
            </w:r>
          </w:p>
        </w:tc>
        <w:tc>
          <w:tcPr>
            <w:tcW w:w="366" w:type="dxa"/>
            <w:vAlign w:val="top"/>
          </w:tcPr>
          <w:p>
            <w:pPr>
              <w:widowControl/>
              <w:jc w:val="center"/>
              <w:rPr>
                <w:rFonts w:hint="eastAsia" w:ascii="仿宋" w:hAnsi="仿宋" w:eastAsia="仿宋" w:cs="仿宋"/>
                <w:kern w:val="2"/>
                <w:sz w:val="18"/>
                <w:szCs w:val="18"/>
                <w:lang w:val="en-US" w:eastAsia="zh-CN" w:bidi="ar-SA"/>
              </w:rPr>
            </w:pPr>
          </w:p>
        </w:tc>
        <w:tc>
          <w:tcPr>
            <w:tcW w:w="538" w:type="dxa"/>
            <w:tcBorders>
              <w:bottom w:val="nil"/>
            </w:tcBorders>
            <w:vAlign w:val="top"/>
          </w:tcPr>
          <w:p>
            <w:pPr>
              <w:widowControl/>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539"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32</w:t>
            </w:r>
          </w:p>
        </w:tc>
        <w:tc>
          <w:tcPr>
            <w:tcW w:w="58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32</w:t>
            </w:r>
          </w:p>
        </w:tc>
        <w:tc>
          <w:tcPr>
            <w:tcW w:w="520"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1177" w:type="dxa"/>
            <w:vAlign w:val="top"/>
          </w:tcPr>
          <w:p>
            <w:pPr>
              <w:widowControl/>
              <w:jc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公共基础</w:t>
            </w:r>
          </w:p>
        </w:tc>
        <w:tc>
          <w:tcPr>
            <w:tcW w:w="609" w:type="dxa"/>
            <w:vAlign w:val="top"/>
          </w:tcPr>
          <w:p>
            <w:pPr>
              <w:pStyle w:val="10"/>
              <w:keepNext w:val="0"/>
              <w:keepLines w:val="0"/>
              <w:pageBreakBefore w:val="0"/>
              <w:kinsoku/>
              <w:wordWrap/>
              <w:overflowPunct/>
              <w:topLinePunct w:val="0"/>
              <w:bidi w:val="0"/>
              <w:adjustRightInd/>
              <w:spacing w:line="480" w:lineRule="exact"/>
              <w:ind w:left="0" w:leftChars="0"/>
              <w:rPr>
                <w:rFonts w:hint="eastAsia" w:ascii="仿宋" w:hAnsi="仿宋" w:eastAsia="仿宋" w:cs="仿宋"/>
                <w:kern w:val="2"/>
                <w:sz w:val="18"/>
                <w:szCs w:val="18"/>
                <w:lang w:val="en-US" w:eastAsia="zh-CN" w:bidi="ar-SA"/>
              </w:rPr>
            </w:pPr>
            <w:r>
              <w:rPr>
                <w:rFonts w:hint="eastAsia" w:ascii="仿宋" w:hAnsi="仿宋" w:eastAsia="仿宋" w:cs="仿宋"/>
                <w:sz w:val="18"/>
                <w:szCs w:val="18"/>
              </w:rPr>
              <w:t>考试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keepNext w:val="0"/>
              <w:keepLines w:val="0"/>
              <w:pageBreakBefore w:val="0"/>
              <w:kinsoku/>
              <w:wordWrap/>
              <w:overflowPunct/>
              <w:topLinePunct w:val="0"/>
              <w:bidi w:val="0"/>
              <w:adjustRightInd/>
              <w:spacing w:line="480" w:lineRule="exact"/>
              <w:ind w:left="0" w:leftChars="0"/>
              <w:jc w:val="center"/>
              <w:rPr>
                <w:rFonts w:hint="eastAsia" w:ascii="仿宋" w:hAnsi="仿宋" w:eastAsia="仿宋" w:cs="仿宋"/>
                <w:sz w:val="18"/>
                <w:szCs w:val="18"/>
                <w:lang w:val="en-US" w:eastAsia="zh-CN"/>
              </w:rPr>
            </w:pPr>
          </w:p>
        </w:tc>
        <w:tc>
          <w:tcPr>
            <w:tcW w:w="2333" w:type="dxa"/>
            <w:vAlign w:val="top"/>
          </w:tcPr>
          <w:p>
            <w:pPr>
              <w:pStyle w:val="10"/>
              <w:spacing w:before="29"/>
              <w:ind w:left="108"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形式与政策</w:t>
            </w:r>
          </w:p>
        </w:tc>
        <w:tc>
          <w:tcPr>
            <w:tcW w:w="366" w:type="dxa"/>
            <w:vAlign w:val="center"/>
          </w:tcPr>
          <w:p>
            <w:pPr>
              <w:pStyle w:val="10"/>
              <w:jc w:val="center"/>
              <w:rPr>
                <w:rFonts w:hint="eastAsia" w:ascii="仿宋" w:hAnsi="仿宋" w:eastAsia="仿宋" w:cs="仿宋"/>
                <w:kern w:val="2"/>
                <w:sz w:val="18"/>
                <w:szCs w:val="18"/>
                <w:lang w:val="en-US" w:eastAsia="zh-CN" w:bidi="ar-SA"/>
              </w:rPr>
            </w:pPr>
          </w:p>
        </w:tc>
        <w:tc>
          <w:tcPr>
            <w:tcW w:w="538" w:type="dxa"/>
            <w:tcBorders>
              <w:bottom w:val="nil"/>
            </w:tcBorders>
            <w:vAlign w:val="center"/>
          </w:tcPr>
          <w:p>
            <w:pPr>
              <w:pStyle w:val="10"/>
              <w:spacing w:before="6" w:line="218" w:lineRule="exact"/>
              <w:ind w:left="173" w:leftChars="0" w:right="163" w:rightChars="0"/>
              <w:jc w:val="center"/>
              <w:rPr>
                <w:rFonts w:hint="eastAsia" w:ascii="仿宋" w:hAnsi="仿宋" w:eastAsia="仿宋" w:cs="仿宋"/>
                <w:kern w:val="2"/>
                <w:sz w:val="18"/>
                <w:szCs w:val="18"/>
                <w:lang w:val="en-US" w:eastAsia="zh-CN" w:bidi="ar-SA"/>
              </w:rPr>
            </w:pPr>
          </w:p>
        </w:tc>
        <w:tc>
          <w:tcPr>
            <w:tcW w:w="563" w:type="dxa"/>
            <w:vAlign w:val="top"/>
          </w:tcPr>
          <w:p>
            <w:pPr>
              <w:pStyle w:val="10"/>
              <w:spacing w:line="202" w:lineRule="exact"/>
              <w:ind w:firstLine="180" w:firstLineChars="100"/>
              <w:jc w:val="both"/>
              <w:rPr>
                <w:rFonts w:hint="default"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t>0.25</w:t>
            </w:r>
          </w:p>
        </w:tc>
        <w:tc>
          <w:tcPr>
            <w:tcW w:w="539"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8</w:t>
            </w:r>
          </w:p>
        </w:tc>
        <w:tc>
          <w:tcPr>
            <w:tcW w:w="583"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8</w:t>
            </w:r>
          </w:p>
        </w:tc>
        <w:tc>
          <w:tcPr>
            <w:tcW w:w="520"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0</w:t>
            </w:r>
          </w:p>
        </w:tc>
        <w:tc>
          <w:tcPr>
            <w:tcW w:w="718" w:type="dxa"/>
            <w:vAlign w:val="top"/>
          </w:tcPr>
          <w:p>
            <w:pPr>
              <w:pStyle w:val="10"/>
              <w:spacing w:line="202" w:lineRule="exact"/>
              <w:ind w:left="229" w:leftChars="0"/>
              <w:jc w:val="center"/>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2</w:t>
            </w:r>
          </w:p>
        </w:tc>
        <w:tc>
          <w:tcPr>
            <w:tcW w:w="1177" w:type="dxa"/>
            <w:vAlign w:val="top"/>
          </w:tcPr>
          <w:p>
            <w:pPr>
              <w:pStyle w:val="10"/>
              <w:spacing w:before="45"/>
              <w:ind w:right="206" w:rightChars="0"/>
              <w:jc w:val="right"/>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公共基础</w:t>
            </w:r>
          </w:p>
        </w:tc>
        <w:tc>
          <w:tcPr>
            <w:tcW w:w="609" w:type="dxa"/>
            <w:vAlign w:val="top"/>
          </w:tcPr>
          <w:p>
            <w:pPr>
              <w:pStyle w:val="10"/>
              <w:rPr>
                <w:rFonts w:hint="eastAsia" w:ascii="仿宋" w:hAnsi="仿宋" w:eastAsia="仿宋" w:cs="仿宋"/>
                <w:kern w:val="2"/>
                <w:sz w:val="18"/>
                <w:szCs w:val="18"/>
                <w:lang w:val="en-US" w:eastAsia="zh-CN" w:bidi="ar-SA"/>
              </w:rPr>
            </w:pPr>
            <w:r>
              <w:rPr>
                <w:rFonts w:hint="eastAsia" w:ascii="仿宋" w:hAnsi="仿宋" w:eastAsia="仿宋" w:cs="仿宋"/>
                <w:sz w:val="18"/>
                <w:szCs w:val="18"/>
                <w:lang w:val="en-US" w:eastAsia="zh-CN"/>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6" w:hRule="atLeast"/>
        </w:trPr>
        <w:tc>
          <w:tcPr>
            <w:tcW w:w="968" w:type="dxa"/>
            <w:vAlign w:val="center"/>
          </w:tcPr>
          <w:p>
            <w:pPr>
              <w:jc w:val="center"/>
              <w:rPr>
                <w:rFonts w:hint="eastAsia" w:ascii="仿宋" w:hAnsi="仿宋" w:eastAsia="仿宋" w:cs="仿宋"/>
                <w:sz w:val="18"/>
                <w:szCs w:val="18"/>
              </w:rPr>
            </w:pPr>
          </w:p>
        </w:tc>
        <w:tc>
          <w:tcPr>
            <w:tcW w:w="766" w:type="dxa"/>
            <w:vAlign w:val="center"/>
          </w:tcPr>
          <w:p>
            <w:pPr>
              <w:jc w:val="center"/>
              <w:rPr>
                <w:rFonts w:hint="eastAsia" w:ascii="仿宋" w:hAnsi="仿宋" w:eastAsia="仿宋" w:cs="仿宋"/>
                <w:color w:val="000000"/>
                <w:kern w:val="0"/>
                <w:sz w:val="18"/>
                <w:szCs w:val="18"/>
                <w:lang w:val="en-US" w:eastAsia="zh-CN" w:bidi="ar"/>
              </w:rPr>
            </w:pPr>
          </w:p>
        </w:tc>
        <w:tc>
          <w:tcPr>
            <w:tcW w:w="2333" w:type="dxa"/>
            <w:vAlign w:val="center"/>
          </w:tcPr>
          <w:p>
            <w:pPr>
              <w:widowControl/>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合计</w:t>
            </w:r>
          </w:p>
        </w:tc>
        <w:tc>
          <w:tcPr>
            <w:tcW w:w="366" w:type="dxa"/>
            <w:vAlign w:val="center"/>
          </w:tcPr>
          <w:p>
            <w:pPr>
              <w:pStyle w:val="10"/>
              <w:jc w:val="center"/>
              <w:rPr>
                <w:rFonts w:hint="eastAsia" w:ascii="仿宋" w:hAnsi="仿宋" w:eastAsia="仿宋" w:cs="仿宋"/>
                <w:sz w:val="18"/>
                <w:szCs w:val="18"/>
              </w:rPr>
            </w:pPr>
          </w:p>
        </w:tc>
        <w:tc>
          <w:tcPr>
            <w:tcW w:w="538" w:type="dxa"/>
            <w:tcBorders>
              <w:bottom w:val="nil"/>
            </w:tcBorders>
            <w:vAlign w:val="center"/>
          </w:tcPr>
          <w:p>
            <w:pPr>
              <w:pStyle w:val="10"/>
              <w:spacing w:before="6" w:line="218" w:lineRule="exact"/>
              <w:ind w:left="173" w:right="163"/>
              <w:jc w:val="center"/>
              <w:rPr>
                <w:rFonts w:hint="eastAsia" w:ascii="仿宋" w:hAnsi="仿宋" w:eastAsia="仿宋" w:cs="仿宋"/>
                <w:sz w:val="18"/>
                <w:szCs w:val="18"/>
                <w:lang w:val="en-US" w:eastAsia="zh-CN"/>
              </w:rPr>
            </w:pPr>
          </w:p>
        </w:tc>
        <w:tc>
          <w:tcPr>
            <w:tcW w:w="563"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sum(F56:F66)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35.25</w:t>
            </w:r>
            <w:r>
              <w:rPr>
                <w:rFonts w:hint="eastAsia" w:ascii="仿宋" w:hAnsi="仿宋" w:eastAsia="仿宋" w:cs="仿宋"/>
                <w:sz w:val="18"/>
                <w:szCs w:val="18"/>
                <w:lang w:val="en-US" w:eastAsia="zh-CN"/>
              </w:rPr>
              <w:fldChar w:fldCharType="end"/>
            </w:r>
          </w:p>
        </w:tc>
        <w:tc>
          <w:tcPr>
            <w:tcW w:w="539" w:type="dxa"/>
            <w:vAlign w:val="center"/>
          </w:tcPr>
          <w:p>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fldChar w:fldCharType="begin"/>
            </w:r>
            <w:r>
              <w:rPr>
                <w:rFonts w:hint="eastAsia" w:ascii="仿宋" w:hAnsi="仿宋" w:eastAsia="仿宋" w:cs="仿宋"/>
                <w:kern w:val="2"/>
                <w:sz w:val="18"/>
                <w:szCs w:val="18"/>
                <w:lang w:val="en-US" w:eastAsia="zh-CN" w:bidi="ar-SA"/>
              </w:rPr>
              <w:instrText xml:space="preserve"> = sum(G56:G66) \* MERGEFORMAT </w:instrText>
            </w:r>
            <w:r>
              <w:rPr>
                <w:rFonts w:hint="eastAsia" w:ascii="仿宋" w:hAnsi="仿宋" w:eastAsia="仿宋" w:cs="仿宋"/>
                <w:kern w:val="2"/>
                <w:sz w:val="18"/>
                <w:szCs w:val="18"/>
                <w:lang w:val="en-US" w:eastAsia="zh-CN" w:bidi="ar-SA"/>
              </w:rPr>
              <w:fldChar w:fldCharType="separate"/>
            </w:r>
            <w:r>
              <w:rPr>
                <w:rFonts w:hint="eastAsia" w:ascii="仿宋" w:hAnsi="仿宋" w:eastAsia="仿宋" w:cs="仿宋"/>
                <w:kern w:val="2"/>
                <w:sz w:val="18"/>
                <w:szCs w:val="18"/>
                <w:lang w:val="en-US" w:eastAsia="zh-CN" w:bidi="ar-SA"/>
              </w:rPr>
              <w:t>616</w:t>
            </w:r>
            <w:r>
              <w:rPr>
                <w:rFonts w:hint="eastAsia" w:ascii="仿宋" w:hAnsi="仿宋" w:eastAsia="仿宋" w:cs="仿宋"/>
                <w:kern w:val="2"/>
                <w:sz w:val="18"/>
                <w:szCs w:val="18"/>
                <w:lang w:val="en-US" w:eastAsia="zh-CN" w:bidi="ar-SA"/>
              </w:rPr>
              <w:fldChar w:fldCharType="end"/>
            </w:r>
          </w:p>
        </w:tc>
        <w:tc>
          <w:tcPr>
            <w:tcW w:w="583" w:type="dxa"/>
            <w:vAlign w:val="center"/>
          </w:tcPr>
          <w:p>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fldChar w:fldCharType="begin"/>
            </w:r>
            <w:r>
              <w:rPr>
                <w:rFonts w:hint="eastAsia" w:ascii="仿宋" w:hAnsi="仿宋" w:eastAsia="仿宋" w:cs="仿宋"/>
                <w:kern w:val="2"/>
                <w:sz w:val="18"/>
                <w:szCs w:val="18"/>
                <w:lang w:val="en-US" w:eastAsia="zh-CN" w:bidi="ar-SA"/>
              </w:rPr>
              <w:instrText xml:space="preserve"> = sum(H56:H66) \* MERGEFORMAT </w:instrText>
            </w:r>
            <w:r>
              <w:rPr>
                <w:rFonts w:hint="eastAsia" w:ascii="仿宋" w:hAnsi="仿宋" w:eastAsia="仿宋" w:cs="仿宋"/>
                <w:kern w:val="2"/>
                <w:sz w:val="18"/>
                <w:szCs w:val="18"/>
                <w:lang w:val="en-US" w:eastAsia="zh-CN" w:bidi="ar-SA"/>
              </w:rPr>
              <w:fldChar w:fldCharType="separate"/>
            </w:r>
            <w:r>
              <w:rPr>
                <w:rFonts w:hint="eastAsia" w:ascii="仿宋" w:hAnsi="仿宋" w:eastAsia="仿宋" w:cs="仿宋"/>
                <w:kern w:val="2"/>
                <w:sz w:val="18"/>
                <w:szCs w:val="18"/>
                <w:lang w:val="en-US" w:eastAsia="zh-CN" w:bidi="ar-SA"/>
              </w:rPr>
              <w:t>334</w:t>
            </w:r>
            <w:r>
              <w:rPr>
                <w:rFonts w:hint="eastAsia" w:ascii="仿宋" w:hAnsi="仿宋" w:eastAsia="仿宋" w:cs="仿宋"/>
                <w:kern w:val="2"/>
                <w:sz w:val="18"/>
                <w:szCs w:val="18"/>
                <w:lang w:val="en-US" w:eastAsia="zh-CN" w:bidi="ar-SA"/>
              </w:rPr>
              <w:fldChar w:fldCharType="end"/>
            </w:r>
          </w:p>
        </w:tc>
        <w:tc>
          <w:tcPr>
            <w:tcW w:w="520" w:type="dxa"/>
            <w:vAlign w:val="center"/>
          </w:tcPr>
          <w:p>
            <w:pPr>
              <w:keepNext w:val="0"/>
              <w:keepLines w:val="0"/>
              <w:widowControl/>
              <w:suppressLineNumbers w:val="0"/>
              <w:jc w:val="center"/>
              <w:textAlignment w:val="center"/>
              <w:rPr>
                <w:rFonts w:hint="eastAsia" w:ascii="仿宋" w:hAnsi="仿宋" w:eastAsia="仿宋" w:cs="仿宋"/>
                <w:kern w:val="2"/>
                <w:sz w:val="18"/>
                <w:szCs w:val="18"/>
                <w:lang w:val="en-US" w:eastAsia="zh-CN" w:bidi="ar-SA"/>
              </w:rPr>
            </w:pPr>
            <w:r>
              <w:rPr>
                <w:rFonts w:hint="eastAsia" w:ascii="仿宋" w:hAnsi="仿宋" w:eastAsia="仿宋" w:cs="仿宋"/>
                <w:kern w:val="2"/>
                <w:sz w:val="18"/>
                <w:szCs w:val="18"/>
                <w:lang w:val="en-US" w:eastAsia="zh-CN" w:bidi="ar-SA"/>
              </w:rPr>
              <w:fldChar w:fldCharType="begin"/>
            </w:r>
            <w:r>
              <w:rPr>
                <w:rFonts w:hint="eastAsia" w:ascii="仿宋" w:hAnsi="仿宋" w:eastAsia="仿宋" w:cs="仿宋"/>
                <w:kern w:val="2"/>
                <w:sz w:val="18"/>
                <w:szCs w:val="18"/>
                <w:lang w:val="en-US" w:eastAsia="zh-CN" w:bidi="ar-SA"/>
              </w:rPr>
              <w:instrText xml:space="preserve"> = sum(I56:I66) \* MERGEFORMAT </w:instrText>
            </w:r>
            <w:r>
              <w:rPr>
                <w:rFonts w:hint="eastAsia" w:ascii="仿宋" w:hAnsi="仿宋" w:eastAsia="仿宋" w:cs="仿宋"/>
                <w:kern w:val="2"/>
                <w:sz w:val="18"/>
                <w:szCs w:val="18"/>
                <w:lang w:val="en-US" w:eastAsia="zh-CN" w:bidi="ar-SA"/>
              </w:rPr>
              <w:fldChar w:fldCharType="separate"/>
            </w:r>
            <w:r>
              <w:rPr>
                <w:rFonts w:hint="eastAsia" w:ascii="仿宋" w:hAnsi="仿宋" w:eastAsia="仿宋" w:cs="仿宋"/>
                <w:kern w:val="2"/>
                <w:sz w:val="18"/>
                <w:szCs w:val="18"/>
                <w:lang w:val="en-US" w:eastAsia="zh-CN" w:bidi="ar-SA"/>
              </w:rPr>
              <w:t>282</w:t>
            </w:r>
            <w:r>
              <w:rPr>
                <w:rFonts w:hint="eastAsia" w:ascii="仿宋" w:hAnsi="仿宋" w:eastAsia="仿宋" w:cs="仿宋"/>
                <w:kern w:val="2"/>
                <w:sz w:val="18"/>
                <w:szCs w:val="18"/>
                <w:lang w:val="en-US" w:eastAsia="zh-CN" w:bidi="ar-SA"/>
              </w:rPr>
              <w:fldChar w:fldCharType="end"/>
            </w:r>
          </w:p>
        </w:tc>
        <w:tc>
          <w:tcPr>
            <w:tcW w:w="718" w:type="dxa"/>
            <w:vAlign w:val="center"/>
          </w:tcPr>
          <w:p>
            <w:pPr>
              <w:pStyle w:val="10"/>
              <w:spacing w:line="202" w:lineRule="exact"/>
              <w:ind w:left="2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fldChar w:fldCharType="begin"/>
            </w:r>
            <w:r>
              <w:rPr>
                <w:rFonts w:hint="eastAsia" w:ascii="仿宋" w:hAnsi="仿宋" w:eastAsia="仿宋" w:cs="仿宋"/>
                <w:sz w:val="18"/>
                <w:szCs w:val="18"/>
                <w:lang w:val="en-US" w:eastAsia="zh-CN"/>
              </w:rPr>
              <w:instrText xml:space="preserve"> = sum(J56:J66) \* MERGEFORMAT </w:instrText>
            </w:r>
            <w:r>
              <w:rPr>
                <w:rFonts w:hint="eastAsia" w:ascii="仿宋" w:hAnsi="仿宋" w:eastAsia="仿宋" w:cs="仿宋"/>
                <w:sz w:val="18"/>
                <w:szCs w:val="18"/>
                <w:lang w:val="en-US" w:eastAsia="zh-CN"/>
              </w:rPr>
              <w:fldChar w:fldCharType="separate"/>
            </w:r>
            <w:r>
              <w:rPr>
                <w:rFonts w:hint="eastAsia" w:ascii="仿宋" w:hAnsi="仿宋" w:eastAsia="仿宋" w:cs="仿宋"/>
                <w:sz w:val="18"/>
                <w:szCs w:val="18"/>
                <w:lang w:val="en-US" w:eastAsia="zh-CN"/>
              </w:rPr>
              <w:t>36</w:t>
            </w:r>
            <w:r>
              <w:rPr>
                <w:rFonts w:hint="eastAsia" w:ascii="仿宋" w:hAnsi="仿宋" w:eastAsia="仿宋" w:cs="仿宋"/>
                <w:sz w:val="18"/>
                <w:szCs w:val="18"/>
                <w:lang w:val="en-US" w:eastAsia="zh-CN"/>
              </w:rPr>
              <w:fldChar w:fldCharType="end"/>
            </w:r>
          </w:p>
        </w:tc>
        <w:tc>
          <w:tcPr>
            <w:tcW w:w="1177" w:type="dxa"/>
            <w:vAlign w:val="center"/>
          </w:tcPr>
          <w:p>
            <w:pPr>
              <w:jc w:val="center"/>
              <w:rPr>
                <w:rFonts w:hint="eastAsia" w:ascii="仿宋" w:hAnsi="仿宋" w:eastAsia="仿宋" w:cs="仿宋"/>
                <w:sz w:val="18"/>
                <w:szCs w:val="18"/>
                <w:lang w:val="en-US" w:eastAsia="zh-CN"/>
              </w:rPr>
            </w:pPr>
          </w:p>
        </w:tc>
        <w:tc>
          <w:tcPr>
            <w:tcW w:w="609" w:type="dxa"/>
            <w:vAlign w:val="top"/>
          </w:tcPr>
          <w:p>
            <w:pPr>
              <w:pStyle w:val="10"/>
              <w:rPr>
                <w:rFonts w:hint="eastAsia" w:ascii="仿宋" w:hAnsi="仿宋" w:eastAsia="仿宋" w:cs="仿宋"/>
                <w:sz w:val="18"/>
                <w:szCs w:val="18"/>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61" w:hRule="atLeast"/>
        </w:trPr>
        <w:tc>
          <w:tcPr>
            <w:tcW w:w="968" w:type="dxa"/>
            <w:vAlign w:val="center"/>
          </w:tcPr>
          <w:p>
            <w:pPr>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论文</w:t>
            </w:r>
          </w:p>
        </w:tc>
        <w:tc>
          <w:tcPr>
            <w:tcW w:w="4003" w:type="dxa"/>
            <w:gridSpan w:val="4"/>
            <w:vAlign w:val="center"/>
          </w:tcPr>
          <w:p>
            <w:pPr>
              <w:pStyle w:val="10"/>
              <w:spacing w:before="6" w:line="218" w:lineRule="exact"/>
              <w:ind w:left="173" w:right="163" w:firstLine="1080" w:firstLineChars="600"/>
              <w:jc w:val="center"/>
              <w:rPr>
                <w:rFonts w:hint="eastAsia" w:ascii="仿宋" w:hAnsi="仿宋" w:eastAsia="仿宋" w:cs="仿宋"/>
                <w:color w:val="0D0D0D"/>
                <w:kern w:val="0"/>
                <w:sz w:val="18"/>
                <w:szCs w:val="18"/>
                <w:lang w:val="en-US" w:eastAsia="zh-CN"/>
              </w:rPr>
            </w:pPr>
            <w:r>
              <w:rPr>
                <w:rFonts w:hint="eastAsia" w:ascii="仿宋" w:hAnsi="仿宋" w:eastAsia="仿宋" w:cs="仿宋"/>
                <w:color w:val="0D0D0D"/>
                <w:kern w:val="0"/>
                <w:sz w:val="18"/>
                <w:szCs w:val="18"/>
                <w:lang w:val="en-US" w:eastAsia="zh-CN"/>
              </w:rPr>
              <w:t>毕业设计</w:t>
            </w:r>
          </w:p>
        </w:tc>
        <w:tc>
          <w:tcPr>
            <w:tcW w:w="563" w:type="dxa"/>
            <w:vAlign w:val="center"/>
          </w:tcPr>
          <w:p>
            <w:pPr>
              <w:pStyle w:val="10"/>
              <w:spacing w:before="117"/>
              <w:ind w:left="6"/>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539" w:type="dxa"/>
            <w:vAlign w:val="center"/>
          </w:tcPr>
          <w:p>
            <w:pPr>
              <w:pStyle w:val="10"/>
              <w:spacing w:line="206" w:lineRule="exact"/>
              <w:ind w:left="139" w:right="1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83" w:type="dxa"/>
            <w:vAlign w:val="center"/>
          </w:tcPr>
          <w:p>
            <w:pPr>
              <w:pStyle w:val="10"/>
              <w:spacing w:line="206" w:lineRule="exact"/>
              <w:ind w:left="101" w:right="8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0</w:t>
            </w:r>
          </w:p>
        </w:tc>
        <w:tc>
          <w:tcPr>
            <w:tcW w:w="520" w:type="dxa"/>
            <w:vAlign w:val="center"/>
          </w:tcPr>
          <w:p>
            <w:pPr>
              <w:pStyle w:val="10"/>
              <w:spacing w:line="206" w:lineRule="exact"/>
              <w:ind w:right="154"/>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718" w:type="dxa"/>
            <w:vAlign w:val="center"/>
          </w:tcPr>
          <w:p>
            <w:pPr>
              <w:pStyle w:val="10"/>
              <w:spacing w:before="117"/>
              <w:ind w:left="10"/>
              <w:jc w:val="center"/>
              <w:rPr>
                <w:rFonts w:hint="eastAsia" w:ascii="仿宋" w:hAnsi="仿宋" w:eastAsia="仿宋" w:cs="仿宋"/>
                <w:sz w:val="18"/>
                <w:szCs w:val="18"/>
              </w:rPr>
            </w:pPr>
          </w:p>
        </w:tc>
        <w:tc>
          <w:tcPr>
            <w:tcW w:w="1177" w:type="dxa"/>
            <w:vAlign w:val="center"/>
          </w:tcPr>
          <w:p>
            <w:pPr>
              <w:pStyle w:val="10"/>
              <w:spacing w:line="206" w:lineRule="exact"/>
              <w:ind w:right="206"/>
              <w:jc w:val="center"/>
              <w:rPr>
                <w:rFonts w:hint="eastAsia" w:ascii="仿宋" w:hAnsi="仿宋" w:eastAsia="仿宋" w:cs="仿宋"/>
                <w:sz w:val="18"/>
                <w:szCs w:val="18"/>
              </w:rPr>
            </w:pPr>
          </w:p>
        </w:tc>
        <w:tc>
          <w:tcPr>
            <w:tcW w:w="609" w:type="dxa"/>
            <w:vAlign w:val="center"/>
          </w:tcPr>
          <w:p>
            <w:pPr>
              <w:pStyle w:val="1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874" w:hRule="atLeast"/>
        </w:trPr>
        <w:tc>
          <w:tcPr>
            <w:tcW w:w="968" w:type="dxa"/>
            <w:vAlign w:val="center"/>
          </w:tcPr>
          <w:p>
            <w:pPr>
              <w:jc w:val="center"/>
              <w:rPr>
                <w:rFonts w:hint="eastAsia" w:ascii="仿宋" w:hAnsi="仿宋" w:eastAsia="仿宋" w:cs="仿宋"/>
                <w:sz w:val="18"/>
                <w:szCs w:val="18"/>
              </w:rPr>
            </w:pPr>
            <w:r>
              <w:rPr>
                <w:rFonts w:hint="eastAsia" w:ascii="仿宋" w:hAnsi="仿宋" w:eastAsia="仿宋" w:cs="仿宋"/>
                <w:sz w:val="18"/>
                <w:szCs w:val="18"/>
              </w:rPr>
              <w:t>实习</w:t>
            </w:r>
          </w:p>
        </w:tc>
        <w:tc>
          <w:tcPr>
            <w:tcW w:w="4003" w:type="dxa"/>
            <w:gridSpan w:val="4"/>
            <w:vAlign w:val="center"/>
          </w:tcPr>
          <w:p>
            <w:pPr>
              <w:pStyle w:val="10"/>
              <w:spacing w:before="6" w:line="218" w:lineRule="exact"/>
              <w:ind w:left="173" w:right="163" w:firstLine="1080" w:firstLineChars="600"/>
              <w:jc w:val="center"/>
              <w:rPr>
                <w:rFonts w:hint="eastAsia" w:ascii="仿宋" w:hAnsi="仿宋" w:eastAsia="仿宋" w:cs="仿宋"/>
                <w:sz w:val="18"/>
                <w:szCs w:val="18"/>
              </w:rPr>
            </w:pPr>
            <w:r>
              <w:rPr>
                <w:rFonts w:hint="eastAsia" w:ascii="仿宋" w:hAnsi="仿宋" w:eastAsia="仿宋" w:cs="仿宋"/>
                <w:color w:val="0D0D0D"/>
                <w:kern w:val="0"/>
                <w:sz w:val="18"/>
                <w:szCs w:val="18"/>
              </w:rPr>
              <w:t>顶岗实习</w:t>
            </w:r>
          </w:p>
        </w:tc>
        <w:tc>
          <w:tcPr>
            <w:tcW w:w="563" w:type="dxa"/>
            <w:vAlign w:val="center"/>
          </w:tcPr>
          <w:p>
            <w:pPr>
              <w:pStyle w:val="10"/>
              <w:spacing w:before="117"/>
              <w:ind w:left="6"/>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36</w:t>
            </w:r>
          </w:p>
        </w:tc>
        <w:tc>
          <w:tcPr>
            <w:tcW w:w="539" w:type="dxa"/>
            <w:vAlign w:val="center"/>
          </w:tcPr>
          <w:p>
            <w:pPr>
              <w:pStyle w:val="10"/>
              <w:spacing w:line="206" w:lineRule="exact"/>
              <w:ind w:left="139" w:right="129"/>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770</w:t>
            </w:r>
          </w:p>
        </w:tc>
        <w:tc>
          <w:tcPr>
            <w:tcW w:w="583" w:type="dxa"/>
            <w:vAlign w:val="center"/>
          </w:tcPr>
          <w:p>
            <w:pPr>
              <w:pStyle w:val="10"/>
              <w:spacing w:line="206" w:lineRule="exact"/>
              <w:ind w:left="101" w:right="89"/>
              <w:jc w:val="center"/>
              <w:rPr>
                <w:rFonts w:hint="eastAsia" w:ascii="仿宋" w:hAnsi="仿宋" w:eastAsia="仿宋" w:cs="仿宋"/>
                <w:sz w:val="18"/>
                <w:szCs w:val="18"/>
              </w:rPr>
            </w:pPr>
          </w:p>
        </w:tc>
        <w:tc>
          <w:tcPr>
            <w:tcW w:w="520" w:type="dxa"/>
            <w:vAlign w:val="center"/>
          </w:tcPr>
          <w:p>
            <w:pPr>
              <w:pStyle w:val="10"/>
              <w:spacing w:line="206" w:lineRule="exact"/>
              <w:ind w:right="154"/>
              <w:jc w:val="both"/>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770</w:t>
            </w:r>
          </w:p>
        </w:tc>
        <w:tc>
          <w:tcPr>
            <w:tcW w:w="718" w:type="dxa"/>
            <w:vAlign w:val="center"/>
          </w:tcPr>
          <w:p>
            <w:pPr>
              <w:pStyle w:val="10"/>
              <w:spacing w:before="117"/>
              <w:ind w:left="10"/>
              <w:jc w:val="center"/>
              <w:rPr>
                <w:rFonts w:hint="eastAsia" w:ascii="仿宋" w:hAnsi="仿宋" w:eastAsia="仿宋" w:cs="仿宋"/>
                <w:sz w:val="18"/>
                <w:szCs w:val="18"/>
              </w:rPr>
            </w:pPr>
          </w:p>
        </w:tc>
        <w:tc>
          <w:tcPr>
            <w:tcW w:w="1177" w:type="dxa"/>
            <w:vAlign w:val="center"/>
          </w:tcPr>
          <w:p>
            <w:pPr>
              <w:pStyle w:val="10"/>
              <w:spacing w:line="206" w:lineRule="exact"/>
              <w:ind w:right="206"/>
              <w:jc w:val="center"/>
              <w:rPr>
                <w:rFonts w:hint="eastAsia" w:ascii="仿宋" w:hAnsi="仿宋" w:eastAsia="仿宋" w:cs="仿宋"/>
                <w:sz w:val="18"/>
                <w:szCs w:val="18"/>
              </w:rPr>
            </w:pPr>
          </w:p>
        </w:tc>
        <w:tc>
          <w:tcPr>
            <w:tcW w:w="609" w:type="dxa"/>
            <w:vAlign w:val="center"/>
          </w:tcPr>
          <w:p>
            <w:pPr>
              <w:pStyle w:val="10"/>
              <w:jc w:val="center"/>
              <w:rPr>
                <w:rFonts w:hint="eastAsia" w:ascii="仿宋" w:hAnsi="仿宋" w:eastAsia="仿宋" w:cs="仿宋"/>
                <w:sz w:val="18"/>
                <w:szCs w:val="18"/>
              </w:rPr>
            </w:pPr>
            <w:r>
              <w:rPr>
                <w:rFonts w:hint="eastAsia" w:ascii="仿宋" w:hAnsi="仿宋" w:eastAsia="仿宋" w:cs="仿宋"/>
                <w:sz w:val="18"/>
                <w:szCs w:val="18"/>
              </w:rPr>
              <w:t>考查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49" w:hRule="atLeast"/>
        </w:trPr>
        <w:tc>
          <w:tcPr>
            <w:tcW w:w="968" w:type="dxa"/>
            <w:vAlign w:val="center"/>
          </w:tcPr>
          <w:p>
            <w:pPr>
              <w:pStyle w:val="10"/>
              <w:jc w:val="center"/>
              <w:rPr>
                <w:rFonts w:hint="eastAsia" w:ascii="仿宋" w:hAnsi="仿宋" w:eastAsia="仿宋" w:cs="仿宋"/>
                <w:sz w:val="18"/>
                <w:szCs w:val="18"/>
              </w:rPr>
            </w:pPr>
          </w:p>
        </w:tc>
        <w:tc>
          <w:tcPr>
            <w:tcW w:w="4003" w:type="dxa"/>
            <w:gridSpan w:val="4"/>
            <w:vAlign w:val="center"/>
          </w:tcPr>
          <w:p>
            <w:pPr>
              <w:pStyle w:val="10"/>
              <w:spacing w:before="81"/>
              <w:ind w:left="1766" w:right="1756"/>
              <w:jc w:val="center"/>
              <w:rPr>
                <w:rFonts w:hint="eastAsia" w:ascii="仿宋" w:hAnsi="仿宋" w:eastAsia="仿宋" w:cs="仿宋"/>
                <w:sz w:val="18"/>
                <w:szCs w:val="18"/>
              </w:rPr>
            </w:pPr>
            <w:r>
              <w:rPr>
                <w:rFonts w:hint="eastAsia" w:ascii="仿宋" w:hAnsi="仿宋" w:eastAsia="仿宋" w:cs="仿宋"/>
                <w:sz w:val="18"/>
                <w:szCs w:val="18"/>
              </w:rPr>
              <w:t>合计</w:t>
            </w:r>
          </w:p>
        </w:tc>
        <w:tc>
          <w:tcPr>
            <w:tcW w:w="563" w:type="dxa"/>
            <w:vAlign w:val="center"/>
          </w:tcPr>
          <w:p>
            <w:pPr>
              <w:pStyle w:val="10"/>
              <w:spacing w:before="81"/>
              <w:ind w:left="186"/>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38</w:t>
            </w:r>
          </w:p>
        </w:tc>
        <w:tc>
          <w:tcPr>
            <w:tcW w:w="539" w:type="dxa"/>
            <w:vAlign w:val="center"/>
          </w:tcPr>
          <w:p>
            <w:pPr>
              <w:pStyle w:val="1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806</w:t>
            </w:r>
          </w:p>
        </w:tc>
        <w:tc>
          <w:tcPr>
            <w:tcW w:w="583" w:type="dxa"/>
            <w:vAlign w:val="center"/>
          </w:tcPr>
          <w:p>
            <w:pPr>
              <w:pStyle w:val="10"/>
              <w:jc w:val="center"/>
              <w:rPr>
                <w:rFonts w:hint="eastAsia" w:ascii="仿宋" w:hAnsi="仿宋" w:eastAsia="仿宋" w:cs="仿宋"/>
                <w:sz w:val="18"/>
                <w:szCs w:val="18"/>
              </w:rPr>
            </w:pPr>
          </w:p>
        </w:tc>
        <w:tc>
          <w:tcPr>
            <w:tcW w:w="520" w:type="dxa"/>
            <w:vAlign w:val="center"/>
          </w:tcPr>
          <w:p>
            <w:pPr>
              <w:pStyle w:val="1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806</w:t>
            </w:r>
          </w:p>
        </w:tc>
        <w:tc>
          <w:tcPr>
            <w:tcW w:w="718" w:type="dxa"/>
            <w:vAlign w:val="center"/>
          </w:tcPr>
          <w:p>
            <w:pPr>
              <w:pStyle w:val="10"/>
              <w:jc w:val="center"/>
              <w:rPr>
                <w:rFonts w:hint="eastAsia" w:ascii="仿宋" w:hAnsi="仿宋" w:eastAsia="仿宋" w:cs="仿宋"/>
                <w:sz w:val="18"/>
                <w:szCs w:val="18"/>
              </w:rPr>
            </w:pPr>
          </w:p>
        </w:tc>
        <w:tc>
          <w:tcPr>
            <w:tcW w:w="1177" w:type="dxa"/>
            <w:vAlign w:val="center"/>
          </w:tcPr>
          <w:p>
            <w:pPr>
              <w:pStyle w:val="10"/>
              <w:jc w:val="center"/>
              <w:rPr>
                <w:rFonts w:hint="eastAsia" w:ascii="仿宋" w:hAnsi="仿宋" w:eastAsia="仿宋" w:cs="仿宋"/>
                <w:sz w:val="18"/>
                <w:szCs w:val="18"/>
              </w:rPr>
            </w:pPr>
          </w:p>
        </w:tc>
        <w:tc>
          <w:tcPr>
            <w:tcW w:w="609" w:type="dxa"/>
            <w:vAlign w:val="center"/>
          </w:tcPr>
          <w:p>
            <w:pPr>
              <w:pStyle w:val="10"/>
              <w:spacing w:before="81"/>
              <w:ind w:left="88" w:right="78"/>
              <w:jc w:val="center"/>
              <w:rPr>
                <w:rFonts w:hint="eastAsia" w:ascii="仿宋" w:hAnsi="仿宋" w:eastAsia="仿宋" w:cs="仿宋"/>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1134" w:hRule="atLeast"/>
        </w:trPr>
        <w:tc>
          <w:tcPr>
            <w:tcW w:w="9680" w:type="dxa"/>
            <w:gridSpan w:val="12"/>
            <w:vAlign w:val="center"/>
          </w:tcPr>
          <w:p>
            <w:pPr>
              <w:pStyle w:val="10"/>
              <w:keepNext w:val="0"/>
              <w:keepLines w:val="0"/>
              <w:pageBreakBefore w:val="0"/>
              <w:kinsoku/>
              <w:wordWrap/>
              <w:overflowPunct/>
              <w:topLinePunct w:val="0"/>
              <w:bidi w:val="0"/>
              <w:adjustRightInd/>
              <w:spacing w:line="480" w:lineRule="exact"/>
              <w:rPr>
                <w:rFonts w:hint="eastAsia" w:ascii="仿宋" w:hAnsi="仿宋" w:eastAsia="仿宋" w:cs="仿宋"/>
                <w:spacing w:val="1"/>
                <w:sz w:val="18"/>
                <w:szCs w:val="18"/>
                <w:lang w:val="en-US" w:eastAsia="zh-CN"/>
              </w:rPr>
            </w:pPr>
            <w:r>
              <w:rPr>
                <w:rFonts w:hint="eastAsia" w:ascii="仿宋" w:hAnsi="仿宋" w:eastAsia="仿宋" w:cs="仿宋"/>
                <w:spacing w:val="1"/>
                <w:sz w:val="18"/>
                <w:szCs w:val="18"/>
                <w:lang w:val="en-US" w:eastAsia="zh-CN"/>
              </w:rPr>
              <w:t>1.《入学教育》课程为必修课，</w:t>
            </w:r>
            <w:r>
              <w:rPr>
                <w:rFonts w:hint="eastAsia" w:ascii="仿宋" w:hAnsi="仿宋" w:eastAsia="仿宋" w:cs="仿宋"/>
                <w:spacing w:val="1"/>
                <w:sz w:val="18"/>
                <w:szCs w:val="18"/>
              </w:rPr>
              <w:t>课程类型为公共基础课，课程代码</w:t>
            </w:r>
            <w:r>
              <w:rPr>
                <w:rFonts w:hint="eastAsia" w:ascii="仿宋" w:hAnsi="仿宋" w:eastAsia="仿宋" w:cs="仿宋"/>
                <w:spacing w:val="1"/>
                <w:sz w:val="18"/>
                <w:szCs w:val="18"/>
                <w:lang w:val="en-US" w:eastAsia="zh-CN"/>
              </w:rPr>
              <w:t>GJC0100，1学分，共18学时。于第一学年开学第一周开设。</w:t>
            </w:r>
          </w:p>
          <w:p>
            <w:pPr>
              <w:pStyle w:val="10"/>
              <w:keepNext w:val="0"/>
              <w:keepLines w:val="0"/>
              <w:pageBreakBefore w:val="0"/>
              <w:kinsoku/>
              <w:wordWrap/>
              <w:overflowPunct/>
              <w:topLinePunct w:val="0"/>
              <w:bidi w:val="0"/>
              <w:adjustRightInd/>
              <w:spacing w:line="480" w:lineRule="exact"/>
              <w:rPr>
                <w:rFonts w:hint="eastAsia" w:ascii="仿宋" w:hAnsi="仿宋" w:eastAsia="仿宋" w:cs="仿宋"/>
                <w:spacing w:val="1"/>
                <w:sz w:val="18"/>
                <w:szCs w:val="18"/>
                <w:lang w:val="en-US" w:eastAsia="zh-CN"/>
              </w:rPr>
            </w:pPr>
            <w:r>
              <w:rPr>
                <w:rFonts w:hint="eastAsia" w:ascii="仿宋" w:hAnsi="仿宋" w:eastAsia="仿宋" w:cs="仿宋"/>
                <w:spacing w:val="1"/>
                <w:sz w:val="18"/>
                <w:szCs w:val="18"/>
                <w:lang w:val="en-US" w:eastAsia="zh-CN"/>
              </w:rPr>
              <w:t>2.</w:t>
            </w:r>
            <w:r>
              <w:rPr>
                <w:rFonts w:hint="eastAsia" w:ascii="仿宋" w:hAnsi="仿宋" w:eastAsia="仿宋" w:cs="仿宋"/>
                <w:spacing w:val="1"/>
                <w:sz w:val="18"/>
                <w:szCs w:val="18"/>
                <w:lang w:eastAsia="zh-CN"/>
              </w:rPr>
              <w:t>《</w:t>
            </w:r>
            <w:r>
              <w:rPr>
                <w:rFonts w:hint="eastAsia" w:ascii="仿宋" w:hAnsi="仿宋" w:eastAsia="仿宋" w:cs="仿宋"/>
                <w:spacing w:val="1"/>
                <w:sz w:val="18"/>
                <w:szCs w:val="18"/>
                <w:lang w:val="en-US" w:eastAsia="zh-CN"/>
              </w:rPr>
              <w:t>新编军事技能训练教程</w:t>
            </w:r>
            <w:r>
              <w:rPr>
                <w:rFonts w:hint="eastAsia" w:ascii="仿宋" w:hAnsi="仿宋" w:eastAsia="仿宋" w:cs="仿宋"/>
                <w:spacing w:val="1"/>
                <w:sz w:val="18"/>
                <w:szCs w:val="18"/>
                <w:lang w:eastAsia="zh-CN"/>
              </w:rPr>
              <w:t>》</w:t>
            </w:r>
            <w:r>
              <w:rPr>
                <w:rFonts w:hint="eastAsia" w:ascii="仿宋" w:hAnsi="仿宋" w:eastAsia="仿宋" w:cs="仿宋"/>
                <w:spacing w:val="1"/>
                <w:sz w:val="18"/>
                <w:szCs w:val="18"/>
              </w:rPr>
              <w:t>课程性质为必修课，课程类型为公共基础课，课程代码</w:t>
            </w:r>
            <w:r>
              <w:rPr>
                <w:rFonts w:hint="eastAsia" w:ascii="仿宋" w:hAnsi="仿宋" w:eastAsia="仿宋" w:cs="仿宋"/>
                <w:spacing w:val="1"/>
                <w:sz w:val="18"/>
                <w:szCs w:val="18"/>
                <w:lang w:val="en-US" w:eastAsia="zh-CN"/>
              </w:rPr>
              <w:t>Gjc117，2学分，共36学时，于第一学年前两周开设。</w:t>
            </w:r>
          </w:p>
          <w:p>
            <w:pPr>
              <w:pStyle w:val="10"/>
              <w:keepNext w:val="0"/>
              <w:keepLines w:val="0"/>
              <w:pageBreakBefore w:val="0"/>
              <w:kinsoku/>
              <w:wordWrap/>
              <w:overflowPunct/>
              <w:topLinePunct w:val="0"/>
              <w:bidi w:val="0"/>
              <w:adjustRightInd/>
              <w:spacing w:line="480" w:lineRule="exact"/>
              <w:rPr>
                <w:rFonts w:hint="eastAsia" w:ascii="仿宋" w:hAnsi="仿宋" w:eastAsia="仿宋" w:cs="仿宋"/>
                <w:spacing w:val="1"/>
                <w:sz w:val="18"/>
                <w:szCs w:val="18"/>
                <w:lang w:val="en-US" w:eastAsia="zh-CN"/>
              </w:rPr>
            </w:pPr>
            <w:r>
              <w:rPr>
                <w:rFonts w:hint="eastAsia" w:ascii="仿宋" w:hAnsi="仿宋" w:eastAsia="仿宋" w:cs="仿宋"/>
                <w:spacing w:val="1"/>
                <w:sz w:val="18"/>
                <w:szCs w:val="18"/>
                <w:lang w:val="en-US" w:eastAsia="zh-CN"/>
              </w:rPr>
              <w:t>3.</w:t>
            </w:r>
            <w:r>
              <w:rPr>
                <w:rFonts w:hint="eastAsia" w:ascii="仿宋" w:hAnsi="仿宋" w:eastAsia="仿宋" w:cs="仿宋"/>
                <w:spacing w:val="1"/>
                <w:sz w:val="18"/>
                <w:szCs w:val="18"/>
                <w:lang w:eastAsia="zh-CN"/>
              </w:rPr>
              <w:t>《</w:t>
            </w:r>
            <w:r>
              <w:rPr>
                <w:rFonts w:hint="eastAsia" w:ascii="仿宋" w:hAnsi="仿宋" w:eastAsia="仿宋" w:cs="仿宋"/>
                <w:spacing w:val="1"/>
                <w:sz w:val="18"/>
                <w:szCs w:val="18"/>
                <w:lang w:val="en-US" w:eastAsia="zh-CN"/>
              </w:rPr>
              <w:t>形式与政策</w:t>
            </w:r>
            <w:r>
              <w:rPr>
                <w:rFonts w:hint="eastAsia" w:ascii="仿宋" w:hAnsi="仿宋" w:eastAsia="仿宋" w:cs="仿宋"/>
                <w:spacing w:val="1"/>
                <w:sz w:val="18"/>
                <w:szCs w:val="18"/>
                <w:lang w:eastAsia="zh-CN"/>
              </w:rPr>
              <w:t>》</w:t>
            </w:r>
            <w:r>
              <w:rPr>
                <w:rFonts w:hint="eastAsia" w:ascii="仿宋" w:hAnsi="仿宋" w:eastAsia="仿宋" w:cs="仿宋"/>
                <w:spacing w:val="1"/>
                <w:sz w:val="18"/>
                <w:szCs w:val="18"/>
              </w:rPr>
              <w:t>课程性质为必修课，课程类型为公共基础课，课程代码</w:t>
            </w:r>
            <w:r>
              <w:rPr>
                <w:rFonts w:hint="eastAsia" w:ascii="仿宋" w:hAnsi="仿宋" w:eastAsia="仿宋" w:cs="仿宋"/>
                <w:spacing w:val="1"/>
                <w:sz w:val="18"/>
                <w:szCs w:val="18"/>
                <w:lang w:val="en-US" w:eastAsia="zh-CN"/>
              </w:rPr>
              <w:t>Gjc0106，1学分，共32学时，第三、第四学年每学期开设8节课。</w:t>
            </w:r>
          </w:p>
          <w:p>
            <w:pPr>
              <w:pStyle w:val="10"/>
              <w:keepNext w:val="0"/>
              <w:keepLines w:val="0"/>
              <w:pageBreakBefore w:val="0"/>
              <w:kinsoku/>
              <w:wordWrap/>
              <w:overflowPunct/>
              <w:topLinePunct w:val="0"/>
              <w:bidi w:val="0"/>
              <w:adjustRightInd/>
              <w:spacing w:line="480" w:lineRule="exact"/>
              <w:rPr>
                <w:rFonts w:hint="eastAsia" w:ascii="仿宋" w:hAnsi="仿宋" w:eastAsia="仿宋" w:cs="仿宋"/>
                <w:sz w:val="18"/>
                <w:szCs w:val="18"/>
              </w:rPr>
            </w:pPr>
            <w:r>
              <w:rPr>
                <w:rFonts w:hint="eastAsia" w:ascii="仿宋" w:hAnsi="仿宋" w:eastAsia="仿宋" w:cs="仿宋"/>
                <w:spacing w:val="1"/>
                <w:sz w:val="18"/>
                <w:szCs w:val="18"/>
                <w:lang w:val="en-US" w:eastAsia="zh-CN"/>
              </w:rPr>
              <w:t xml:space="preserve">4.《社会实践》课程性质为必修课，课程类型为实践课，2学分，共36学时，第一学年-第五学年都有设置。 </w:t>
            </w:r>
          </w:p>
        </w:tc>
      </w:tr>
    </w:tbl>
    <w:p>
      <w:pPr>
        <w:pStyle w:val="2"/>
        <w:rPr>
          <w:rFonts w:hint="eastAsia" w:ascii="宋体" w:hAnsi="宋体" w:eastAsia="宋体" w:cs="宋体"/>
          <w:b/>
          <w:bCs/>
          <w:sz w:val="24"/>
          <w:szCs w:val="24"/>
          <w:lang w:val="en-US" w:eastAsia="zh-CN"/>
        </w:rPr>
      </w:pPr>
    </w:p>
    <w:p>
      <w:pPr>
        <w:pStyle w:val="2"/>
        <w:rPr>
          <w:rFonts w:hint="eastAsia" w:ascii="宋体" w:hAnsi="宋体" w:eastAsia="宋体" w:cs="宋体"/>
          <w:b/>
          <w:bCs/>
          <w:sz w:val="24"/>
          <w:szCs w:val="24"/>
          <w:lang w:val="en-US" w:eastAsia="zh-CN"/>
        </w:rPr>
      </w:pPr>
    </w:p>
    <w:p>
      <w:pPr>
        <w:pStyle w:val="2"/>
        <w:spacing w:line="400" w:lineRule="exact"/>
        <w:ind w:left="0" w:firstLine="0"/>
        <w:rPr>
          <w:rFonts w:ascii="宋体" w:hAnsi="宋体" w:eastAsia="宋体" w:cs="宋体"/>
          <w:b/>
          <w:bCs/>
        </w:rPr>
      </w:pPr>
      <w:r>
        <w:rPr>
          <w:rFonts w:hint="eastAsia" w:ascii="宋体" w:hAnsi="宋体" w:eastAsia="宋体" w:cs="宋体"/>
          <w:b/>
          <w:bCs/>
        </w:rPr>
        <w:t>（</w:t>
      </w:r>
      <w:r>
        <w:rPr>
          <w:rFonts w:hint="eastAsia" w:ascii="宋体" w:hAnsi="宋体" w:eastAsia="宋体" w:cs="宋体"/>
          <w:b/>
          <w:bCs/>
          <w:lang w:val="en-US"/>
        </w:rPr>
        <w:t>二</w:t>
      </w:r>
      <w:r>
        <w:rPr>
          <w:rFonts w:hint="eastAsia" w:ascii="宋体" w:hAnsi="宋体" w:eastAsia="宋体" w:cs="宋体"/>
          <w:b/>
          <w:bCs/>
        </w:rPr>
        <w:t>）教学活动学时分配</w:t>
      </w:r>
    </w:p>
    <w:tbl>
      <w:tblPr>
        <w:tblStyle w:val="6"/>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1543"/>
        <w:gridCol w:w="851"/>
        <w:gridCol w:w="1016"/>
        <w:gridCol w:w="1479"/>
        <w:gridCol w:w="1335"/>
        <w:gridCol w:w="1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7" w:hRule="atLeast"/>
          <w:jc w:val="center"/>
        </w:trPr>
        <w:tc>
          <w:tcPr>
            <w:tcW w:w="1470"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课程类别</w:t>
            </w:r>
          </w:p>
        </w:tc>
        <w:tc>
          <w:tcPr>
            <w:tcW w:w="1543"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课程性质</w:t>
            </w:r>
          </w:p>
        </w:tc>
        <w:tc>
          <w:tcPr>
            <w:tcW w:w="851"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学分</w:t>
            </w:r>
          </w:p>
        </w:tc>
        <w:tc>
          <w:tcPr>
            <w:tcW w:w="1016"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总学时</w:t>
            </w:r>
          </w:p>
        </w:tc>
        <w:tc>
          <w:tcPr>
            <w:tcW w:w="1479"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理论学时</w:t>
            </w:r>
          </w:p>
        </w:tc>
        <w:tc>
          <w:tcPr>
            <w:tcW w:w="1335"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实践学时</w:t>
            </w:r>
          </w:p>
        </w:tc>
        <w:tc>
          <w:tcPr>
            <w:tcW w:w="1885"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占总学时百分比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vMerge w:val="restart"/>
            <w:shd w:val="clear" w:color="auto" w:fill="auto"/>
            <w:vAlign w:val="center"/>
          </w:tcPr>
          <w:p>
            <w:pPr>
              <w:pStyle w:val="10"/>
              <w:autoSpaceDE w:val="0"/>
              <w:autoSpaceDN w:val="0"/>
              <w:spacing w:line="240" w:lineRule="atLeast"/>
              <w:jc w:val="center"/>
              <w:rPr>
                <w:sz w:val="18"/>
                <w:szCs w:val="18"/>
              </w:rPr>
            </w:pPr>
            <w:r>
              <w:rPr>
                <w:rFonts w:hint="eastAsia"/>
                <w:sz w:val="18"/>
                <w:szCs w:val="18"/>
              </w:rPr>
              <w:t>必修课程</w:t>
            </w:r>
          </w:p>
        </w:tc>
        <w:tc>
          <w:tcPr>
            <w:tcW w:w="1543"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公共基础课</w:t>
            </w:r>
          </w:p>
        </w:tc>
        <w:tc>
          <w:tcPr>
            <w:tcW w:w="851"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56</w:t>
            </w:r>
          </w:p>
        </w:tc>
        <w:tc>
          <w:tcPr>
            <w:tcW w:w="1016"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952</w:t>
            </w:r>
          </w:p>
        </w:tc>
        <w:tc>
          <w:tcPr>
            <w:tcW w:w="1479"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774</w:t>
            </w:r>
          </w:p>
        </w:tc>
        <w:tc>
          <w:tcPr>
            <w:tcW w:w="133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178</w:t>
            </w:r>
          </w:p>
        </w:tc>
        <w:tc>
          <w:tcPr>
            <w:tcW w:w="1885" w:type="dxa"/>
            <w:shd w:val="clear" w:color="auto" w:fill="auto"/>
            <w:vAlign w:val="center"/>
          </w:tcPr>
          <w:p>
            <w:pPr>
              <w:pStyle w:val="10"/>
              <w:autoSpaceDE w:val="0"/>
              <w:autoSpaceDN w:val="0"/>
              <w:spacing w:line="240" w:lineRule="atLeast"/>
              <w:jc w:val="center"/>
              <w:rPr>
                <w:rFonts w:hint="default" w:eastAsia="仿宋_GB2312"/>
                <w:sz w:val="18"/>
                <w:szCs w:val="18"/>
                <w:lang w:val="en-US" w:eastAsia="zh-CN"/>
              </w:rPr>
            </w:pPr>
            <w:r>
              <w:rPr>
                <w:rFonts w:hint="eastAsia"/>
                <w:sz w:val="18"/>
                <w:szCs w:val="18"/>
                <w:lang w:val="en-US" w:eastAsia="zh-CN"/>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vMerge w:val="continue"/>
            <w:shd w:val="clear" w:color="auto" w:fill="auto"/>
            <w:vAlign w:val="center"/>
          </w:tcPr>
          <w:p>
            <w:pPr>
              <w:pStyle w:val="10"/>
              <w:autoSpaceDE w:val="0"/>
              <w:autoSpaceDN w:val="0"/>
              <w:spacing w:line="240" w:lineRule="atLeast"/>
              <w:jc w:val="center"/>
              <w:rPr>
                <w:sz w:val="18"/>
                <w:szCs w:val="18"/>
              </w:rPr>
            </w:pPr>
          </w:p>
        </w:tc>
        <w:tc>
          <w:tcPr>
            <w:tcW w:w="1543"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专业基础课</w:t>
            </w:r>
          </w:p>
        </w:tc>
        <w:tc>
          <w:tcPr>
            <w:tcW w:w="851"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54</w:t>
            </w:r>
          </w:p>
        </w:tc>
        <w:tc>
          <w:tcPr>
            <w:tcW w:w="1016"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936</w:t>
            </w:r>
          </w:p>
        </w:tc>
        <w:tc>
          <w:tcPr>
            <w:tcW w:w="1479"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464</w:t>
            </w:r>
          </w:p>
        </w:tc>
        <w:tc>
          <w:tcPr>
            <w:tcW w:w="133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472</w:t>
            </w:r>
          </w:p>
        </w:tc>
        <w:tc>
          <w:tcPr>
            <w:tcW w:w="188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vMerge w:val="continue"/>
            <w:shd w:val="clear" w:color="auto" w:fill="auto"/>
            <w:vAlign w:val="center"/>
          </w:tcPr>
          <w:p>
            <w:pPr>
              <w:pStyle w:val="10"/>
              <w:autoSpaceDE w:val="0"/>
              <w:autoSpaceDN w:val="0"/>
              <w:spacing w:line="240" w:lineRule="atLeast"/>
              <w:jc w:val="center"/>
              <w:rPr>
                <w:sz w:val="18"/>
                <w:szCs w:val="18"/>
              </w:rPr>
            </w:pPr>
          </w:p>
        </w:tc>
        <w:tc>
          <w:tcPr>
            <w:tcW w:w="1543"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专业核心课</w:t>
            </w:r>
          </w:p>
        </w:tc>
        <w:tc>
          <w:tcPr>
            <w:tcW w:w="851"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94</w:t>
            </w:r>
          </w:p>
        </w:tc>
        <w:tc>
          <w:tcPr>
            <w:tcW w:w="1016"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1692</w:t>
            </w:r>
          </w:p>
        </w:tc>
        <w:tc>
          <w:tcPr>
            <w:tcW w:w="1479"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806</w:t>
            </w:r>
          </w:p>
        </w:tc>
        <w:tc>
          <w:tcPr>
            <w:tcW w:w="133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default"/>
                <w:sz w:val="18"/>
                <w:szCs w:val="18"/>
                <w:lang w:val="en-US" w:eastAsia="zh-CN"/>
              </w:rPr>
              <w:t>886</w:t>
            </w:r>
          </w:p>
        </w:tc>
        <w:tc>
          <w:tcPr>
            <w:tcW w:w="188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vMerge w:val="restart"/>
            <w:shd w:val="clear" w:color="auto" w:fill="auto"/>
            <w:vAlign w:val="center"/>
          </w:tcPr>
          <w:p>
            <w:pPr>
              <w:pStyle w:val="10"/>
              <w:autoSpaceDE w:val="0"/>
              <w:autoSpaceDN w:val="0"/>
              <w:spacing w:line="240" w:lineRule="atLeast"/>
              <w:jc w:val="center"/>
              <w:rPr>
                <w:rFonts w:hint="eastAsia" w:eastAsia="仿宋_GB2312"/>
                <w:sz w:val="18"/>
                <w:szCs w:val="18"/>
                <w:lang w:val="en-US" w:eastAsia="zh-CN"/>
              </w:rPr>
            </w:pPr>
            <w:r>
              <w:rPr>
                <w:rFonts w:hint="eastAsia"/>
                <w:sz w:val="18"/>
                <w:szCs w:val="18"/>
                <w:lang w:val="en-US" w:eastAsia="zh-CN"/>
              </w:rPr>
              <w:t>选修课程</w:t>
            </w:r>
          </w:p>
        </w:tc>
        <w:tc>
          <w:tcPr>
            <w:tcW w:w="1543" w:type="dxa"/>
            <w:shd w:val="clear" w:color="auto" w:fill="auto"/>
            <w:vAlign w:val="center"/>
          </w:tcPr>
          <w:p>
            <w:pPr>
              <w:pStyle w:val="10"/>
              <w:autoSpaceDE w:val="0"/>
              <w:autoSpaceDN w:val="0"/>
              <w:spacing w:line="240" w:lineRule="atLeast"/>
              <w:jc w:val="center"/>
              <w:rPr>
                <w:rFonts w:hint="eastAsia"/>
                <w:sz w:val="18"/>
                <w:szCs w:val="18"/>
              </w:rPr>
            </w:pPr>
            <w:r>
              <w:rPr>
                <w:rFonts w:hint="eastAsia"/>
                <w:sz w:val="18"/>
                <w:szCs w:val="18"/>
              </w:rPr>
              <w:t>专业</w:t>
            </w:r>
            <w:r>
              <w:rPr>
                <w:rFonts w:hint="eastAsia"/>
                <w:sz w:val="18"/>
                <w:szCs w:val="18"/>
                <w:lang w:val="en-US" w:eastAsia="zh-CN"/>
              </w:rPr>
              <w:t>拓展</w:t>
            </w:r>
            <w:r>
              <w:rPr>
                <w:rFonts w:hint="eastAsia"/>
                <w:sz w:val="18"/>
                <w:szCs w:val="18"/>
              </w:rPr>
              <w:t>课</w:t>
            </w:r>
          </w:p>
        </w:tc>
        <w:tc>
          <w:tcPr>
            <w:tcW w:w="851"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16</w:t>
            </w:r>
          </w:p>
        </w:tc>
        <w:tc>
          <w:tcPr>
            <w:tcW w:w="1016"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288</w:t>
            </w:r>
          </w:p>
        </w:tc>
        <w:tc>
          <w:tcPr>
            <w:tcW w:w="1479"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90</w:t>
            </w:r>
          </w:p>
        </w:tc>
        <w:tc>
          <w:tcPr>
            <w:tcW w:w="1335"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198</w:t>
            </w:r>
          </w:p>
        </w:tc>
        <w:tc>
          <w:tcPr>
            <w:tcW w:w="1885"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vMerge w:val="continue"/>
            <w:shd w:val="clear" w:color="auto" w:fill="auto"/>
            <w:vAlign w:val="center"/>
          </w:tcPr>
          <w:p>
            <w:pPr>
              <w:pStyle w:val="10"/>
              <w:autoSpaceDE w:val="0"/>
              <w:autoSpaceDN w:val="0"/>
              <w:spacing w:line="240" w:lineRule="atLeast"/>
              <w:jc w:val="center"/>
              <w:rPr>
                <w:rFonts w:hint="eastAsia" w:eastAsia="仿宋_GB2312"/>
                <w:sz w:val="18"/>
                <w:szCs w:val="18"/>
                <w:lang w:val="en-US" w:eastAsia="zh-CN"/>
              </w:rPr>
            </w:pPr>
          </w:p>
        </w:tc>
        <w:tc>
          <w:tcPr>
            <w:tcW w:w="1543" w:type="dxa"/>
            <w:shd w:val="clear" w:color="auto" w:fill="auto"/>
            <w:vAlign w:val="center"/>
          </w:tcPr>
          <w:p>
            <w:pPr>
              <w:pStyle w:val="10"/>
              <w:autoSpaceDE w:val="0"/>
              <w:autoSpaceDN w:val="0"/>
              <w:spacing w:line="240" w:lineRule="atLeast"/>
              <w:jc w:val="center"/>
              <w:rPr>
                <w:rFonts w:hint="eastAsia" w:eastAsia="仿宋_GB2312"/>
                <w:sz w:val="18"/>
                <w:szCs w:val="18"/>
                <w:lang w:val="en-US" w:eastAsia="zh-CN"/>
              </w:rPr>
            </w:pPr>
            <w:r>
              <w:rPr>
                <w:rFonts w:hint="eastAsia"/>
                <w:sz w:val="18"/>
                <w:szCs w:val="18"/>
                <w:lang w:val="en-US" w:eastAsia="zh-CN"/>
              </w:rPr>
              <w:t>公共选修课</w:t>
            </w:r>
          </w:p>
        </w:tc>
        <w:tc>
          <w:tcPr>
            <w:tcW w:w="851"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2</w:t>
            </w:r>
          </w:p>
        </w:tc>
        <w:tc>
          <w:tcPr>
            <w:tcW w:w="1016"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36</w:t>
            </w:r>
          </w:p>
        </w:tc>
        <w:tc>
          <w:tcPr>
            <w:tcW w:w="1479"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36</w:t>
            </w:r>
          </w:p>
        </w:tc>
        <w:tc>
          <w:tcPr>
            <w:tcW w:w="133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0</w:t>
            </w:r>
          </w:p>
        </w:tc>
        <w:tc>
          <w:tcPr>
            <w:tcW w:w="188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pStyle w:val="10"/>
              <w:autoSpaceDE w:val="0"/>
              <w:autoSpaceDN w:val="0"/>
              <w:spacing w:line="240" w:lineRule="atLeast"/>
              <w:jc w:val="center"/>
              <w:rPr>
                <w:sz w:val="18"/>
                <w:szCs w:val="18"/>
              </w:rPr>
            </w:pPr>
            <w:r>
              <w:rPr>
                <w:rFonts w:hint="eastAsia"/>
                <w:sz w:val="18"/>
                <w:szCs w:val="18"/>
              </w:rPr>
              <w:t>实习</w:t>
            </w:r>
          </w:p>
        </w:tc>
        <w:tc>
          <w:tcPr>
            <w:tcW w:w="1543" w:type="dxa"/>
            <w:shd w:val="clear" w:color="auto" w:fill="auto"/>
            <w:vAlign w:val="center"/>
          </w:tcPr>
          <w:p>
            <w:pPr>
              <w:pStyle w:val="10"/>
              <w:autoSpaceDE w:val="0"/>
              <w:autoSpaceDN w:val="0"/>
              <w:spacing w:line="240" w:lineRule="atLeast"/>
              <w:jc w:val="center"/>
              <w:rPr>
                <w:sz w:val="18"/>
                <w:szCs w:val="18"/>
              </w:rPr>
            </w:pPr>
          </w:p>
        </w:tc>
        <w:tc>
          <w:tcPr>
            <w:tcW w:w="851"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36</w:t>
            </w:r>
          </w:p>
        </w:tc>
        <w:tc>
          <w:tcPr>
            <w:tcW w:w="1016"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770</w:t>
            </w:r>
          </w:p>
        </w:tc>
        <w:tc>
          <w:tcPr>
            <w:tcW w:w="1479"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0</w:t>
            </w:r>
          </w:p>
        </w:tc>
        <w:tc>
          <w:tcPr>
            <w:tcW w:w="133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770</w:t>
            </w:r>
          </w:p>
        </w:tc>
        <w:tc>
          <w:tcPr>
            <w:tcW w:w="188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pStyle w:val="10"/>
              <w:autoSpaceDE w:val="0"/>
              <w:autoSpaceDN w:val="0"/>
              <w:spacing w:line="240" w:lineRule="atLeast"/>
              <w:jc w:val="center"/>
              <w:rPr>
                <w:rFonts w:hint="eastAsia" w:eastAsia="仿宋_GB2312"/>
                <w:sz w:val="18"/>
                <w:szCs w:val="18"/>
                <w:lang w:val="en-US" w:eastAsia="zh-CN"/>
              </w:rPr>
            </w:pPr>
            <w:r>
              <w:rPr>
                <w:rFonts w:hint="eastAsia"/>
                <w:sz w:val="18"/>
                <w:szCs w:val="18"/>
                <w:lang w:val="en-US" w:eastAsia="zh-CN"/>
              </w:rPr>
              <w:t>毕业论文</w:t>
            </w:r>
          </w:p>
        </w:tc>
        <w:tc>
          <w:tcPr>
            <w:tcW w:w="1543" w:type="dxa"/>
            <w:shd w:val="clear" w:color="auto" w:fill="auto"/>
            <w:vAlign w:val="center"/>
          </w:tcPr>
          <w:p>
            <w:pPr>
              <w:pStyle w:val="10"/>
              <w:autoSpaceDE w:val="0"/>
              <w:autoSpaceDN w:val="0"/>
              <w:spacing w:line="240" w:lineRule="atLeast"/>
              <w:jc w:val="center"/>
              <w:rPr>
                <w:sz w:val="18"/>
                <w:szCs w:val="18"/>
              </w:rPr>
            </w:pPr>
          </w:p>
        </w:tc>
        <w:tc>
          <w:tcPr>
            <w:tcW w:w="851"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2</w:t>
            </w:r>
          </w:p>
        </w:tc>
        <w:tc>
          <w:tcPr>
            <w:tcW w:w="1016"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36</w:t>
            </w:r>
          </w:p>
        </w:tc>
        <w:tc>
          <w:tcPr>
            <w:tcW w:w="1479"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0</w:t>
            </w:r>
          </w:p>
        </w:tc>
        <w:tc>
          <w:tcPr>
            <w:tcW w:w="133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36</w:t>
            </w:r>
          </w:p>
        </w:tc>
        <w:tc>
          <w:tcPr>
            <w:tcW w:w="1885" w:type="dxa"/>
            <w:shd w:val="clear" w:color="auto" w:fill="auto"/>
            <w:vAlign w:val="center"/>
          </w:tcPr>
          <w:p>
            <w:pPr>
              <w:pStyle w:val="10"/>
              <w:autoSpaceDE w:val="0"/>
              <w:autoSpaceDN w:val="0"/>
              <w:spacing w:line="240" w:lineRule="atLeast"/>
              <w:jc w:val="center"/>
              <w:rPr>
                <w:rFonts w:hint="default"/>
                <w:sz w:val="18"/>
                <w:szCs w:val="18"/>
                <w:lang w:val="en-US" w:eastAsia="zh-CN"/>
              </w:rPr>
            </w:pPr>
            <w:r>
              <w:rPr>
                <w:rFonts w:hint="eastAsia"/>
                <w:sz w:val="18"/>
                <w:szCs w:val="18"/>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社会实践</w:t>
            </w:r>
          </w:p>
        </w:tc>
        <w:tc>
          <w:tcPr>
            <w:tcW w:w="1543" w:type="dxa"/>
            <w:shd w:val="clear" w:color="auto" w:fill="auto"/>
            <w:vAlign w:val="center"/>
          </w:tcPr>
          <w:p>
            <w:pPr>
              <w:pStyle w:val="10"/>
              <w:autoSpaceDE w:val="0"/>
              <w:autoSpaceDN w:val="0"/>
              <w:spacing w:line="240" w:lineRule="atLeast"/>
              <w:jc w:val="center"/>
              <w:rPr>
                <w:sz w:val="18"/>
                <w:szCs w:val="18"/>
              </w:rPr>
            </w:pPr>
          </w:p>
        </w:tc>
        <w:tc>
          <w:tcPr>
            <w:tcW w:w="851"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2</w:t>
            </w:r>
          </w:p>
        </w:tc>
        <w:tc>
          <w:tcPr>
            <w:tcW w:w="1016"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36</w:t>
            </w:r>
          </w:p>
        </w:tc>
        <w:tc>
          <w:tcPr>
            <w:tcW w:w="1479"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0</w:t>
            </w:r>
          </w:p>
        </w:tc>
        <w:tc>
          <w:tcPr>
            <w:tcW w:w="1335"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36</w:t>
            </w:r>
          </w:p>
        </w:tc>
        <w:tc>
          <w:tcPr>
            <w:tcW w:w="1885"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1470"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rPr>
              <w:t>合计</w:t>
            </w:r>
          </w:p>
        </w:tc>
        <w:tc>
          <w:tcPr>
            <w:tcW w:w="1543" w:type="dxa"/>
            <w:shd w:val="clear" w:color="auto" w:fill="auto"/>
            <w:vAlign w:val="center"/>
          </w:tcPr>
          <w:p>
            <w:pPr>
              <w:pStyle w:val="10"/>
              <w:autoSpaceDE w:val="0"/>
              <w:autoSpaceDN w:val="0"/>
              <w:spacing w:line="240" w:lineRule="atLeast"/>
              <w:jc w:val="center"/>
              <w:rPr>
                <w:sz w:val="18"/>
                <w:szCs w:val="18"/>
              </w:rPr>
            </w:pPr>
          </w:p>
        </w:tc>
        <w:tc>
          <w:tcPr>
            <w:tcW w:w="851"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 sum(C2:C9) \* MERGEFORMAT </w:instrText>
            </w:r>
            <w:r>
              <w:rPr>
                <w:rFonts w:hint="eastAsia"/>
                <w:sz w:val="18"/>
                <w:szCs w:val="18"/>
                <w:lang w:val="en-US" w:eastAsia="zh-CN"/>
              </w:rPr>
              <w:fldChar w:fldCharType="separate"/>
            </w:r>
            <w:r>
              <w:rPr>
                <w:rFonts w:hint="eastAsia"/>
                <w:sz w:val="18"/>
                <w:szCs w:val="18"/>
                <w:lang w:val="en-US" w:eastAsia="zh-CN"/>
              </w:rPr>
              <w:t>262</w:t>
            </w:r>
            <w:r>
              <w:rPr>
                <w:rFonts w:hint="eastAsia"/>
                <w:sz w:val="18"/>
                <w:szCs w:val="18"/>
                <w:lang w:val="en-US" w:eastAsia="zh-CN"/>
              </w:rPr>
              <w:fldChar w:fldCharType="end"/>
            </w:r>
          </w:p>
        </w:tc>
        <w:tc>
          <w:tcPr>
            <w:tcW w:w="1016"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 sum(D2:D9) \* MERGEFORMAT </w:instrText>
            </w:r>
            <w:r>
              <w:rPr>
                <w:rFonts w:hint="eastAsia"/>
                <w:sz w:val="18"/>
                <w:szCs w:val="18"/>
                <w:lang w:val="en-US" w:eastAsia="zh-CN"/>
              </w:rPr>
              <w:fldChar w:fldCharType="separate"/>
            </w:r>
            <w:r>
              <w:rPr>
                <w:rFonts w:hint="eastAsia"/>
                <w:sz w:val="18"/>
                <w:szCs w:val="18"/>
                <w:lang w:val="en-US" w:eastAsia="zh-CN"/>
              </w:rPr>
              <w:t>4746</w:t>
            </w:r>
            <w:r>
              <w:rPr>
                <w:rFonts w:hint="eastAsia"/>
                <w:sz w:val="18"/>
                <w:szCs w:val="18"/>
                <w:lang w:val="en-US" w:eastAsia="zh-CN"/>
              </w:rPr>
              <w:fldChar w:fldCharType="end"/>
            </w:r>
          </w:p>
        </w:tc>
        <w:tc>
          <w:tcPr>
            <w:tcW w:w="1479"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 sum(E2:E9) \* MERGEFORMAT </w:instrText>
            </w:r>
            <w:r>
              <w:rPr>
                <w:rFonts w:hint="eastAsia"/>
                <w:sz w:val="18"/>
                <w:szCs w:val="18"/>
                <w:lang w:val="en-US" w:eastAsia="zh-CN"/>
              </w:rPr>
              <w:fldChar w:fldCharType="separate"/>
            </w:r>
            <w:r>
              <w:rPr>
                <w:rFonts w:hint="eastAsia"/>
                <w:sz w:val="18"/>
                <w:szCs w:val="18"/>
                <w:lang w:val="en-US" w:eastAsia="zh-CN"/>
              </w:rPr>
              <w:t>2170</w:t>
            </w:r>
            <w:r>
              <w:rPr>
                <w:rFonts w:hint="eastAsia"/>
                <w:sz w:val="18"/>
                <w:szCs w:val="18"/>
                <w:lang w:val="en-US" w:eastAsia="zh-CN"/>
              </w:rPr>
              <w:fldChar w:fldCharType="end"/>
            </w:r>
          </w:p>
        </w:tc>
        <w:tc>
          <w:tcPr>
            <w:tcW w:w="1335"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fldChar w:fldCharType="begin"/>
            </w:r>
            <w:r>
              <w:rPr>
                <w:rFonts w:hint="eastAsia"/>
                <w:sz w:val="18"/>
                <w:szCs w:val="18"/>
                <w:lang w:val="en-US" w:eastAsia="zh-CN"/>
              </w:rPr>
              <w:instrText xml:space="preserve"> = sum(F2:F9) \* MERGEFORMAT </w:instrText>
            </w:r>
            <w:r>
              <w:rPr>
                <w:rFonts w:hint="eastAsia"/>
                <w:sz w:val="18"/>
                <w:szCs w:val="18"/>
                <w:lang w:val="en-US" w:eastAsia="zh-CN"/>
              </w:rPr>
              <w:fldChar w:fldCharType="separate"/>
            </w:r>
            <w:r>
              <w:rPr>
                <w:rFonts w:hint="eastAsia"/>
                <w:sz w:val="18"/>
                <w:szCs w:val="18"/>
                <w:lang w:val="en-US" w:eastAsia="zh-CN"/>
              </w:rPr>
              <w:t>2576</w:t>
            </w:r>
            <w:r>
              <w:rPr>
                <w:rFonts w:hint="eastAsia"/>
                <w:sz w:val="18"/>
                <w:szCs w:val="18"/>
                <w:lang w:val="en-US" w:eastAsia="zh-CN"/>
              </w:rPr>
              <w:fldChar w:fldCharType="end"/>
            </w:r>
          </w:p>
        </w:tc>
        <w:tc>
          <w:tcPr>
            <w:tcW w:w="1885" w:type="dxa"/>
            <w:shd w:val="clear" w:color="auto" w:fill="auto"/>
            <w:vAlign w:val="center"/>
          </w:tcPr>
          <w:p>
            <w:pPr>
              <w:pStyle w:val="10"/>
              <w:autoSpaceDE w:val="0"/>
              <w:autoSpaceDN w:val="0"/>
              <w:spacing w:line="240" w:lineRule="atLeast"/>
              <w:jc w:val="center"/>
              <w:rPr>
                <w:rFonts w:hint="eastAsia"/>
                <w:sz w:val="18"/>
                <w:szCs w:val="18"/>
                <w:lang w:val="en-US" w:eastAsia="zh-CN"/>
              </w:rPr>
            </w:pPr>
            <w:r>
              <w:rPr>
                <w:rFonts w:hint="eastAsia"/>
                <w:sz w:val="18"/>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880" w:type="dxa"/>
            <w:gridSpan w:val="4"/>
            <w:shd w:val="clear" w:color="auto" w:fill="auto"/>
            <w:vAlign w:val="center"/>
          </w:tcPr>
          <w:p>
            <w:pPr>
              <w:pStyle w:val="10"/>
              <w:autoSpaceDE w:val="0"/>
              <w:autoSpaceDN w:val="0"/>
              <w:spacing w:line="240" w:lineRule="atLeast"/>
              <w:jc w:val="center"/>
              <w:rPr>
                <w:sz w:val="18"/>
                <w:szCs w:val="18"/>
              </w:rPr>
            </w:pPr>
            <w:r>
              <w:rPr>
                <w:rFonts w:hint="eastAsia"/>
                <w:sz w:val="18"/>
                <w:szCs w:val="18"/>
              </w:rPr>
              <w:t>理论教学时数% ：实践教学时数%</w:t>
            </w:r>
          </w:p>
        </w:tc>
        <w:tc>
          <w:tcPr>
            <w:tcW w:w="4699" w:type="dxa"/>
            <w:gridSpan w:val="3"/>
            <w:shd w:val="clear" w:color="auto" w:fill="auto"/>
            <w:vAlign w:val="center"/>
          </w:tcPr>
          <w:p>
            <w:pPr>
              <w:pStyle w:val="10"/>
              <w:autoSpaceDE w:val="0"/>
              <w:autoSpaceDN w:val="0"/>
              <w:spacing w:line="240" w:lineRule="atLeast"/>
              <w:jc w:val="center"/>
              <w:rPr>
                <w:rFonts w:hint="default" w:eastAsia="仿宋_GB2312"/>
                <w:sz w:val="18"/>
                <w:szCs w:val="18"/>
                <w:lang w:val="en-US" w:eastAsia="zh-CN"/>
              </w:rPr>
            </w:pPr>
            <w:r>
              <w:rPr>
                <w:rFonts w:hint="eastAsia"/>
                <w:sz w:val="18"/>
                <w:szCs w:val="18"/>
                <w:lang w:val="en-US" w:eastAsia="zh-CN"/>
              </w:rPr>
              <w:t>49.7</w:t>
            </w:r>
            <w:r>
              <w:rPr>
                <w:rFonts w:hint="eastAsia"/>
                <w:sz w:val="18"/>
                <w:szCs w:val="18"/>
              </w:rPr>
              <w:t>%：</w:t>
            </w:r>
            <w:r>
              <w:rPr>
                <w:rFonts w:hint="eastAsia"/>
                <w:sz w:val="18"/>
                <w:szCs w:val="18"/>
                <w:lang w:val="en-US" w:eastAsia="zh-CN"/>
              </w:rPr>
              <w:t>50.3</w:t>
            </w:r>
            <w:r>
              <w:rPr>
                <w:rFonts w:hint="eastAsia"/>
                <w:sz w:val="18"/>
                <w:szCs w:val="18"/>
              </w:rPr>
              <w:t>%</w:t>
            </w:r>
          </w:p>
        </w:tc>
      </w:tr>
    </w:tbl>
    <w:p>
      <w:pPr>
        <w:pStyle w:val="2"/>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Times New Roman" w:eastAsia="仿宋_GB2312" w:cs="Times New Roman"/>
          <w:b w:val="0"/>
          <w:bCs w:val="0"/>
          <w:color w:val="000000"/>
          <w:kern w:val="2"/>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九、实施保障 </w:t>
      </w:r>
      <w:bookmarkEnd w:id="6"/>
      <w:bookmarkEnd w:id="7"/>
    </w:p>
    <w:p>
      <w:pPr>
        <w:bidi w:val="0"/>
        <w:rPr>
          <w:rFonts w:hint="eastAsia"/>
          <w:lang w:val="en-US" w:eastAsia="zh-CN"/>
        </w:rPr>
      </w:pPr>
      <w:bookmarkStart w:id="9" w:name="_Toc2053"/>
      <w:r>
        <w:rPr>
          <w:rFonts w:hint="eastAsia"/>
          <w:lang w:val="en-US" w:eastAsia="zh-CN"/>
        </w:rPr>
        <w:t>主要包括师资队伍、教学资源、教学方法、教学评价、质量管理等方面，应满足培养目标、人才规格的要求，应该满足教学安排的需要，应该满足学生的多样学习需求，应该积极吸收行业企业参与。</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（一）师资队伍 </w:t>
      </w:r>
      <w:bookmarkEnd w:id="9"/>
    </w:p>
    <w:p>
      <w:pPr>
        <w:bidi w:val="0"/>
        <w:rPr>
          <w:rFonts w:hint="default"/>
          <w:lang w:val="en-US" w:eastAsia="zh-CN"/>
        </w:rPr>
      </w:pPr>
      <w:r>
        <w:rPr>
          <w:rFonts w:hint="eastAsia"/>
          <w:lang w:val="en-US" w:eastAsia="zh-CN"/>
        </w:rPr>
        <w:t>在学院现有师资基础上，培养科研技术后备军，为课程开发奠定基础。 现有专业课教师12人，均为本科学历，其中中高级以上职称3人，初级职称3人，“双师型”教师5人，教学经验丰富，专业技术精湛，能够胜任本专业的教学任务。2019年新引进青年教师4人，为本专业教学注入了新的活力。</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bookmarkStart w:id="10" w:name="_Toc21059"/>
      <w:r>
        <w:rPr>
          <w:rFonts w:hint="eastAsia" w:ascii="宋体" w:hAnsi="宋体" w:eastAsia="宋体" w:cs="宋体"/>
          <w:b/>
          <w:bCs/>
          <w:sz w:val="24"/>
          <w:szCs w:val="24"/>
          <w:lang w:val="en-US" w:eastAsia="zh-CN"/>
        </w:rPr>
        <w:t>（二）教学资源</w:t>
      </w:r>
      <w:bookmarkEnd w:id="10"/>
      <w:r>
        <w:rPr>
          <w:rFonts w:hint="eastAsia" w:ascii="宋体" w:hAnsi="宋体" w:eastAsia="宋体" w:cs="宋体"/>
          <w:b/>
          <w:bCs/>
          <w:sz w:val="24"/>
          <w:szCs w:val="24"/>
          <w:lang w:val="en-US" w:eastAsia="zh-CN"/>
        </w:rPr>
        <w:t xml:space="preserve"> </w:t>
      </w:r>
    </w:p>
    <w:p>
      <w:pPr>
        <w:bidi w:val="0"/>
        <w:rPr>
          <w:rFonts w:hint="default"/>
          <w:lang w:val="en-US" w:eastAsia="zh-CN"/>
        </w:rPr>
      </w:pPr>
      <w:r>
        <w:rPr>
          <w:rFonts w:hint="eastAsia"/>
          <w:lang w:val="en-US" w:eastAsia="zh-CN"/>
        </w:rPr>
        <w:t xml:space="preserve">校内有专业教室配备黑板、多媒体计算机、投影设备、影像设备、互联网接入、并实施网络安全防护措施；安装有应急照明装备并保持良好状态，符合紧急疏散要求，标志明显，能保证逃生通道畅通无阻。 </w:t>
      </w:r>
    </w:p>
    <w:p>
      <w:pPr>
        <w:bidi w:val="0"/>
        <w:rPr>
          <w:rFonts w:hint="eastAsia"/>
          <w:lang w:val="en-US" w:eastAsia="zh-CN"/>
        </w:rPr>
      </w:pPr>
      <w:r>
        <w:rPr>
          <w:rFonts w:hint="eastAsia"/>
          <w:lang w:val="en-US" w:eastAsia="zh-CN"/>
        </w:rPr>
        <w:t xml:space="preserve">1.新能源汽车基础模块实训中心 新能源汽车基础模块实训室配备高压安全作业实训室、新能源汽车构造实训室等。 </w:t>
      </w:r>
    </w:p>
    <w:p>
      <w:pPr>
        <w:bidi w:val="0"/>
        <w:rPr>
          <w:rFonts w:hint="default"/>
          <w:lang w:val="en-US" w:eastAsia="zh-CN"/>
        </w:rPr>
      </w:pPr>
      <w:r>
        <w:rPr>
          <w:rFonts w:hint="eastAsia"/>
          <w:lang w:val="en-US" w:eastAsia="zh-CN"/>
        </w:rPr>
        <w:t xml:space="preserve">2.新能源汽车“三电”实训中心 </w:t>
      </w:r>
    </w:p>
    <w:p>
      <w:pPr>
        <w:bidi w:val="0"/>
        <w:rPr>
          <w:rFonts w:hint="default"/>
          <w:lang w:val="en-US" w:eastAsia="zh-CN"/>
        </w:rPr>
      </w:pPr>
      <w:r>
        <w:rPr>
          <w:rFonts w:hint="eastAsia"/>
          <w:lang w:val="en-US" w:eastAsia="zh-CN"/>
        </w:rPr>
        <w:t xml:space="preserve">“三电”实训中心配有动力电池及管理系统实训台、电机和电驱动系统实训台、整车电控系统硬件在环仿真实训平台。 </w:t>
      </w:r>
    </w:p>
    <w:p>
      <w:pPr>
        <w:bidi w:val="0"/>
        <w:rPr>
          <w:rFonts w:hint="default"/>
          <w:lang w:val="en-US" w:eastAsia="zh-CN"/>
        </w:rPr>
      </w:pPr>
      <w:r>
        <w:rPr>
          <w:rFonts w:hint="eastAsia"/>
          <w:lang w:val="en-US" w:eastAsia="zh-CN"/>
        </w:rPr>
        <w:t xml:space="preserve">校外实训基地包括意昂神州科技有限公司、宇通新能源客车公司、北汽 </w:t>
      </w:r>
      <w:r>
        <w:rPr>
          <w:rFonts w:hint="default"/>
          <w:lang w:val="en-US" w:eastAsia="zh-CN"/>
        </w:rPr>
        <w:t>4s</w:t>
      </w:r>
      <w:r>
        <w:rPr>
          <w:rFonts w:hint="eastAsia"/>
          <w:lang w:val="en-US" w:eastAsia="zh-CN"/>
        </w:rPr>
        <w:t xml:space="preserve">店等合作单位，具有稳定的实训基地，能开展新能源汽车生产制造、售后技术服务等实训活动，实训设施齐备，实训岗位、实训指导教师确定，实训管理及实施规章制度齐全。 </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bookmarkStart w:id="11" w:name="_Toc4516"/>
      <w:r>
        <w:rPr>
          <w:rFonts w:hint="eastAsia" w:ascii="宋体" w:hAnsi="宋体" w:eastAsia="宋体" w:cs="宋体"/>
          <w:b/>
          <w:bCs/>
          <w:sz w:val="24"/>
          <w:szCs w:val="24"/>
          <w:lang w:val="en-US" w:eastAsia="zh-CN"/>
        </w:rPr>
        <w:t>（三）教学方法</w:t>
      </w:r>
      <w:bookmarkEnd w:id="11"/>
      <w:r>
        <w:rPr>
          <w:rFonts w:hint="eastAsia" w:ascii="宋体" w:hAnsi="宋体" w:eastAsia="宋体" w:cs="宋体"/>
          <w:b/>
          <w:bCs/>
          <w:sz w:val="24"/>
          <w:szCs w:val="24"/>
          <w:lang w:val="en-US" w:eastAsia="zh-CN"/>
        </w:rPr>
        <w:t xml:space="preserve"> </w:t>
      </w:r>
    </w:p>
    <w:p>
      <w:pPr>
        <w:bidi w:val="0"/>
        <w:rPr>
          <w:rFonts w:hint="default"/>
          <w:lang w:val="en-US" w:eastAsia="zh-CN"/>
        </w:rPr>
      </w:pPr>
      <w:r>
        <w:rPr>
          <w:rFonts w:hint="eastAsia"/>
          <w:lang w:val="en-US" w:eastAsia="zh-CN"/>
        </w:rPr>
        <w:t>1.</w:t>
      </w:r>
      <w:r>
        <w:rPr>
          <w:rFonts w:hint="default"/>
          <w:lang w:val="en-US" w:eastAsia="zh-CN"/>
        </w:rPr>
        <w:t>任务驱动法</w:t>
      </w:r>
    </w:p>
    <w:p>
      <w:pPr>
        <w:bidi w:val="0"/>
        <w:rPr>
          <w:rFonts w:hint="default"/>
          <w:lang w:val="en-US" w:eastAsia="zh-CN"/>
        </w:rPr>
      </w:pPr>
      <w:r>
        <w:rPr>
          <w:rFonts w:hint="default"/>
          <w:lang w:val="en-US" w:eastAsia="zh-CN"/>
        </w:rPr>
        <w:t>任务驱动教学法可以让学生在完成“任务”的过程中，培养分析问题、解决问题的能力，培养学生独立探索及合作精神。</w:t>
      </w:r>
    </w:p>
    <w:p>
      <w:pPr>
        <w:bidi w:val="0"/>
        <w:rPr>
          <w:rFonts w:hint="default"/>
          <w:lang w:val="en-US" w:eastAsia="zh-CN"/>
        </w:rPr>
      </w:pPr>
      <w:r>
        <w:rPr>
          <w:rFonts w:hint="eastAsia"/>
          <w:lang w:val="en-US" w:eastAsia="zh-CN"/>
        </w:rPr>
        <w:t>2.</w:t>
      </w:r>
      <w:r>
        <w:rPr>
          <w:rFonts w:hint="default"/>
          <w:lang w:val="en-US" w:eastAsia="zh-CN"/>
        </w:rPr>
        <w:t>案例教学法</w:t>
      </w:r>
    </w:p>
    <w:p>
      <w:pPr>
        <w:bidi w:val="0"/>
        <w:rPr>
          <w:rFonts w:hint="default"/>
          <w:lang w:val="en-US" w:eastAsia="zh-CN"/>
        </w:rPr>
      </w:pPr>
      <w:r>
        <w:rPr>
          <w:rFonts w:hint="default"/>
          <w:lang w:val="en-US" w:eastAsia="zh-CN"/>
        </w:rPr>
        <w:t>为了提高学生运用相关知识解决实际问题的能力，在课程的授课过程中，我们通过案例引入问题，围绕问题提出知识点，激发学生的学习兴趣，同时，通过对实际案例进行分析，让学生更好的了解相关岗位工作的实际过程，掌握工作过程中的处理方法。</w:t>
      </w:r>
    </w:p>
    <w:p>
      <w:pPr>
        <w:bidi w:val="0"/>
        <w:rPr>
          <w:rFonts w:hint="default"/>
          <w:lang w:val="en-US" w:eastAsia="zh-CN"/>
        </w:rPr>
      </w:pPr>
      <w:r>
        <w:rPr>
          <w:rFonts w:hint="eastAsia"/>
          <w:lang w:val="en-US" w:eastAsia="zh-CN"/>
        </w:rPr>
        <w:t>3.</w:t>
      </w:r>
      <w:r>
        <w:rPr>
          <w:rFonts w:hint="default"/>
          <w:lang w:val="en-US" w:eastAsia="zh-CN"/>
        </w:rPr>
        <w:t>角色扮演法</w:t>
      </w:r>
    </w:p>
    <w:p>
      <w:pPr>
        <w:bidi w:val="0"/>
        <w:rPr>
          <w:rFonts w:hint="default"/>
          <w:lang w:val="en-US" w:eastAsia="zh-CN"/>
        </w:rPr>
      </w:pPr>
      <w:r>
        <w:rPr>
          <w:rFonts w:hint="default"/>
          <w:lang w:val="en-US" w:eastAsia="zh-CN"/>
        </w:rPr>
        <w:t>在学生掌握基本知识的同时，让学生分别扮演</w:t>
      </w:r>
      <w:r>
        <w:rPr>
          <w:rFonts w:hint="eastAsia"/>
          <w:lang w:val="en-US" w:eastAsia="zh-CN"/>
        </w:rPr>
        <w:t>新能源</w:t>
      </w:r>
      <w:r>
        <w:rPr>
          <w:rFonts w:hint="default"/>
          <w:lang w:val="en-US" w:eastAsia="zh-CN"/>
        </w:rPr>
        <w:t>汽车维修、汽车销售或售后中的各种角色及顾客角色，让学生犹如置身于真实的汽车维修环境中，协调分工来完成各项工作任务。</w:t>
      </w:r>
    </w:p>
    <w:p>
      <w:pPr>
        <w:bidi w:val="0"/>
        <w:rPr>
          <w:rFonts w:hint="default"/>
          <w:lang w:val="en-US" w:eastAsia="zh-CN"/>
        </w:rPr>
      </w:pPr>
      <w:r>
        <w:rPr>
          <w:rFonts w:hint="eastAsia"/>
          <w:lang w:val="en-US" w:eastAsia="zh-CN"/>
        </w:rPr>
        <w:t>4.</w:t>
      </w:r>
      <w:r>
        <w:rPr>
          <w:rFonts w:hint="default"/>
          <w:lang w:val="en-US" w:eastAsia="zh-CN"/>
        </w:rPr>
        <w:t>自主学习法</w:t>
      </w:r>
    </w:p>
    <w:p>
      <w:pPr>
        <w:bidi w:val="0"/>
        <w:rPr>
          <w:rFonts w:hint="default"/>
          <w:lang w:val="en-US" w:eastAsia="zh-CN"/>
        </w:rPr>
      </w:pPr>
      <w:r>
        <w:rPr>
          <w:rFonts w:hint="default"/>
          <w:lang w:val="en-US" w:eastAsia="zh-CN"/>
        </w:rPr>
        <w:t>为了充分拓展学生的视野，培养学生的学习习惯和自主学习能力，锻炼学生的综合素质，通常给学生留思考题或对遇到一些生产问题，让学生利用网络资源自主学习的方式寻找答案，提出解决问题的措施，然后进行讨论评价。</w:t>
      </w:r>
    </w:p>
    <w:p>
      <w:pPr>
        <w:bidi w:val="0"/>
        <w:rPr>
          <w:rFonts w:hint="default"/>
          <w:lang w:val="en-US" w:eastAsia="zh-CN"/>
        </w:rPr>
      </w:pPr>
      <w:r>
        <w:rPr>
          <w:rFonts w:hint="eastAsia"/>
          <w:lang w:val="en-US" w:eastAsia="zh-CN"/>
        </w:rPr>
        <w:t>5.</w:t>
      </w:r>
      <w:r>
        <w:rPr>
          <w:rFonts w:hint="default"/>
          <w:lang w:val="en-US" w:eastAsia="zh-CN"/>
        </w:rPr>
        <w:t>讨论法</w:t>
      </w:r>
    </w:p>
    <w:p>
      <w:pPr>
        <w:bidi w:val="0"/>
        <w:rPr>
          <w:rFonts w:hint="default"/>
          <w:lang w:val="en-US" w:eastAsia="zh-CN"/>
        </w:rPr>
      </w:pPr>
      <w:r>
        <w:rPr>
          <w:rFonts w:hint="default"/>
          <w:lang w:val="en-US" w:eastAsia="zh-CN"/>
        </w:rPr>
        <w:t>讨论法是在教师的指导下，学生以全班或小组为单位，围绕教材的中心问题，各抒己见，通过讨论或辩论活动，获得知识或巩固知识的一种教学方法。优点在于，由于全体学生都参加活动，可以培养合作精神，激发学生的学习兴趣，提高学生学习的独立性。</w:t>
      </w:r>
    </w:p>
    <w:p>
      <w:pPr>
        <w:bidi w:val="0"/>
        <w:rPr>
          <w:rFonts w:hint="default"/>
          <w:lang w:val="en-US" w:eastAsia="zh-CN"/>
        </w:rPr>
      </w:pPr>
      <w:r>
        <w:rPr>
          <w:rFonts w:hint="eastAsia"/>
          <w:lang w:val="en-US" w:eastAsia="zh-CN"/>
        </w:rPr>
        <w:t>6.</w:t>
      </w:r>
      <w:r>
        <w:rPr>
          <w:rFonts w:hint="default"/>
          <w:lang w:val="en-US" w:eastAsia="zh-CN"/>
        </w:rPr>
        <w:t>实地考察法</w:t>
      </w:r>
    </w:p>
    <w:p>
      <w:pPr>
        <w:bidi w:val="0"/>
        <w:rPr>
          <w:rFonts w:hint="default"/>
          <w:lang w:val="en-US" w:eastAsia="zh-CN"/>
        </w:rPr>
      </w:pPr>
      <w:r>
        <w:rPr>
          <w:rFonts w:hint="default"/>
          <w:lang w:val="en-US" w:eastAsia="zh-CN"/>
        </w:rPr>
        <w:t>学生利用课余时间深入到汽车企业中亲身体验汽车服务人员的工作方式和技巧，分析工作流程与技巧。教师也可以带学生到企业参观学习，接授一线汽车后市场相关岗位人员的培训和指导。这样能让学生深刻体会到相关岗位的职业特点，提高学生面向社会的能力。</w:t>
      </w:r>
    </w:p>
    <w:p>
      <w:pPr>
        <w:bidi w:val="0"/>
        <w:rPr>
          <w:rFonts w:hint="default"/>
          <w:lang w:val="en-US" w:eastAsia="zh-CN"/>
        </w:rPr>
      </w:pPr>
      <w:r>
        <w:rPr>
          <w:rFonts w:hint="eastAsia"/>
          <w:lang w:val="en-US" w:eastAsia="zh-CN"/>
        </w:rPr>
        <w:t>7.</w:t>
      </w:r>
      <w:r>
        <w:rPr>
          <w:rFonts w:hint="default"/>
          <w:lang w:val="en-US" w:eastAsia="zh-CN"/>
        </w:rPr>
        <w:t>线上线下混合式学习法</w:t>
      </w:r>
    </w:p>
    <w:p>
      <w:pPr>
        <w:bidi w:val="0"/>
        <w:rPr>
          <w:rFonts w:hint="default"/>
          <w:lang w:val="en-US" w:eastAsia="zh-CN"/>
        </w:rPr>
      </w:pPr>
      <w:r>
        <w:rPr>
          <w:rFonts w:hint="default"/>
          <w:lang w:val="en-US" w:eastAsia="zh-CN"/>
        </w:rPr>
        <w:t>针对生源特点和课程学习要求，分为纯线上、纯线下和线上线下混合式课程。采取分散和集中相结合的方式，线上学习依托智慧课堂、学习通、精品在线开放课程网站等进行，线下集中进行理论讲解，主要以实践为主。</w:t>
      </w:r>
    </w:p>
    <w:p>
      <w:pPr>
        <w:bidi w:val="0"/>
        <w:rPr>
          <w:rFonts w:hint="eastAsia"/>
          <w:lang w:val="en-US" w:eastAsia="zh-CN"/>
        </w:rPr>
      </w:pPr>
      <w:bookmarkStart w:id="12" w:name="_Toc16868"/>
      <w:r>
        <w:rPr>
          <w:rFonts w:hint="eastAsia"/>
          <w:lang w:val="en-US" w:eastAsia="zh-CN"/>
        </w:rPr>
        <w:t>（四）学习评价</w:t>
      </w:r>
      <w:bookmarkEnd w:id="12"/>
      <w:r>
        <w:rPr>
          <w:rFonts w:hint="eastAsia"/>
          <w:lang w:val="en-US" w:eastAsia="zh-CN"/>
        </w:rPr>
        <w:t xml:space="preserve"> </w:t>
      </w:r>
    </w:p>
    <w:p>
      <w:pPr>
        <w:bidi w:val="0"/>
        <w:rPr>
          <w:rFonts w:hint="default"/>
          <w:lang w:val="en-US" w:eastAsia="zh-CN"/>
        </w:rPr>
      </w:pPr>
      <w:r>
        <w:rPr>
          <w:rFonts w:hint="eastAsia"/>
          <w:lang w:val="en-US" w:eastAsia="zh-CN"/>
        </w:rPr>
        <w:t>1.</w:t>
      </w:r>
      <w:r>
        <w:rPr>
          <w:rFonts w:hint="default"/>
          <w:lang w:val="en-US" w:eastAsia="zh-CN"/>
        </w:rPr>
        <w:t>教师教学质量评价包括学生评价、督导评价、同行评价三个部分，每学期进行一次，年终进行总评。</w:t>
      </w:r>
    </w:p>
    <w:p>
      <w:pPr>
        <w:bidi w:val="0"/>
        <w:rPr>
          <w:rFonts w:hint="default"/>
          <w:lang w:val="en-US" w:eastAsia="zh-CN"/>
        </w:rPr>
      </w:pPr>
      <w:r>
        <w:rPr>
          <w:rFonts w:hint="eastAsia"/>
          <w:lang w:val="en-US" w:eastAsia="zh-CN"/>
        </w:rPr>
        <w:t>2.</w:t>
      </w:r>
      <w:r>
        <w:rPr>
          <w:rFonts w:hint="default"/>
          <w:lang w:val="en-US" w:eastAsia="zh-CN"/>
        </w:rPr>
        <w:t>学生学习评价应兼顾认知、技能、情感等方面，评价应体现评价标准、评价主体、评价方式、评价过程的多元化，如线上通过智慧课堂、学习通、精品在线开放课程随机组卷的方法进行考核，并留存线上学习记录，线下考核可通过观察、口试、笔试、顶岗操作、职业技能大赛、职业资格鉴定等评价、评定方式。</w:t>
      </w:r>
    </w:p>
    <w:p>
      <w:pPr>
        <w:keepNext w:val="0"/>
        <w:keepLines w:val="0"/>
        <w:pageBreakBefore w:val="0"/>
        <w:widowControl w:val="0"/>
        <w:kinsoku/>
        <w:wordWrap/>
        <w:topLinePunct w:val="0"/>
        <w:autoSpaceDE/>
        <w:autoSpaceDN/>
        <w:bidi w:val="0"/>
        <w:adjustRightInd/>
        <w:spacing w:line="400" w:lineRule="exact"/>
        <w:ind w:left="0" w:firstLine="482" w:firstLineChars="200"/>
        <w:jc w:val="left"/>
        <w:textAlignment w:val="auto"/>
        <w:rPr>
          <w:rFonts w:hint="eastAsia" w:ascii="黑体" w:hAnsi="黑体" w:eastAsia="黑体"/>
          <w:b w:val="0"/>
          <w:bCs w:val="0"/>
          <w:sz w:val="24"/>
          <w:szCs w:val="24"/>
        </w:rPr>
      </w:pPr>
      <w:bookmarkStart w:id="13" w:name="_Toc19442"/>
      <w:r>
        <w:rPr>
          <w:rFonts w:hint="eastAsia" w:ascii="宋体" w:hAnsi="Times New Roman"/>
          <w:b/>
          <w:bCs/>
          <w:color w:val="000000"/>
          <w:sz w:val="24"/>
          <w:szCs w:val="24"/>
          <w:lang w:val="en-US" w:eastAsia="zh-CN"/>
        </w:rPr>
        <w:t>（五）质量管理</w:t>
      </w:r>
      <w:r>
        <w:rPr>
          <w:rStyle w:val="9"/>
          <w:rFonts w:hint="eastAsia" w:ascii="黑体" w:hAnsi="黑体"/>
          <w:b w:val="0"/>
          <w:bCs w:val="0"/>
          <w:sz w:val="24"/>
          <w:szCs w:val="24"/>
        </w:rPr>
        <w:t xml:space="preserve"> </w:t>
      </w:r>
      <w:bookmarkEnd w:id="13"/>
    </w:p>
    <w:p>
      <w:pPr>
        <w:bidi w:val="0"/>
        <w:rPr>
          <w:rFonts w:hint="default"/>
          <w:lang w:val="en-US" w:eastAsia="zh-CN"/>
        </w:rPr>
      </w:pPr>
      <w:bookmarkStart w:id="14" w:name="_Toc27534"/>
      <w:r>
        <w:rPr>
          <w:rFonts w:hint="default"/>
          <w:lang w:val="en-US" w:eastAsia="zh-CN"/>
        </w:rPr>
        <w:t>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pPr>
        <w:bidi w:val="0"/>
        <w:rPr>
          <w:rFonts w:hint="default"/>
          <w:lang w:val="en-US" w:eastAsia="zh-CN"/>
        </w:rPr>
      </w:pPr>
      <w:r>
        <w:rPr>
          <w:rFonts w:hint="default"/>
          <w:lang w:val="en-US" w:eastAsia="zh-CN"/>
        </w:rPr>
        <w:t>完善教学管理机制，加强日常教学组织运行与管理，定期开展课程建设水平和教学质量诊断与改进，建立健全听课、评教、评学等制度，建立与企业联动的实践教学环节督导制度，严明教学纪律，强化教学组织功能，定期开展公开课示范课等教研活动。</w:t>
      </w:r>
    </w:p>
    <w:p>
      <w:pPr>
        <w:bidi w:val="0"/>
        <w:rPr>
          <w:rFonts w:hint="default"/>
          <w:lang w:val="en-US" w:eastAsia="zh-CN"/>
        </w:rPr>
      </w:pPr>
      <w:r>
        <w:rPr>
          <w:rFonts w:hint="default"/>
          <w:lang w:val="en-US" w:eastAsia="zh-CN"/>
        </w:rPr>
        <w:t>建立毕业生跟踪反馈机制及社会评价机制，并对生源情况、在校生学业水平、毕业生就业情况等进行分析，定期评价人才培养质量和培养目标达成情况，并充分利用评价分析结果有效改进专业教学，提高人才培养质量。</w:t>
      </w:r>
    </w:p>
    <w:bookmarkEnd w:id="14"/>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lang w:val="en-US" w:eastAsia="zh-CN"/>
        </w:rPr>
      </w:pPr>
      <w:r>
        <w:rPr>
          <w:rFonts w:hint="eastAsia" w:ascii="宋体" w:hAnsi="宋体" w:eastAsia="宋体" w:cs="宋体"/>
          <w:b/>
          <w:bCs/>
          <w:sz w:val="24"/>
          <w:szCs w:val="24"/>
          <w:lang w:val="en-US" w:eastAsia="zh-CN"/>
        </w:rPr>
        <w:t>十、毕业要求</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（一）学分要求</w:t>
      </w:r>
    </w:p>
    <w:p>
      <w:pPr>
        <w:bidi w:val="0"/>
        <w:rPr>
          <w:rFonts w:hint="eastAsia"/>
          <w:lang w:val="en-US" w:eastAsia="zh-CN"/>
        </w:rPr>
      </w:pPr>
      <w:r>
        <w:rPr>
          <w:rFonts w:hint="eastAsia"/>
          <w:lang w:val="en-US" w:eastAsia="zh-CN"/>
        </w:rPr>
        <w:t>所有课程成绩全部合格，修满190学分（含公共基础限定选修课3门6学分，公共基础任意选修课不少于3门6学分，第二课堂8学分）。</w:t>
      </w:r>
    </w:p>
    <w:p>
      <w:pPr>
        <w:bidi w:val="0"/>
        <w:rPr>
          <w:rFonts w:hint="eastAsia"/>
          <w:lang w:val="en-US" w:eastAsia="zh-CN"/>
        </w:rPr>
      </w:pPr>
      <w:r>
        <w:rPr>
          <w:rFonts w:hint="eastAsia"/>
          <w:lang w:val="en-US" w:eastAsia="zh-CN"/>
        </w:rPr>
        <w:t>（二）素质要求</w:t>
      </w:r>
    </w:p>
    <w:p>
      <w:pPr>
        <w:bidi w:val="0"/>
        <w:rPr>
          <w:rFonts w:hint="eastAsia"/>
          <w:lang w:val="en-US" w:eastAsia="zh-CN"/>
        </w:rPr>
      </w:pPr>
      <w:r>
        <w:rPr>
          <w:rFonts w:hint="eastAsia"/>
          <w:lang w:val="en-US" w:eastAsia="zh-CN"/>
        </w:rPr>
        <w:t>学生在校期间必须参加2项以上第二课堂，体育健康测试达标。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4A78F7"/>
    <w:multiLevelType w:val="singleLevel"/>
    <w:tmpl w:val="274A78F7"/>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kZDMzYTZmNDg3MDdhNDlhMWE0YTEwNGJjZGE3MmIifQ=="/>
  </w:docVars>
  <w:rsids>
    <w:rsidRoot w:val="18FD0D3F"/>
    <w:rsid w:val="00610283"/>
    <w:rsid w:val="00C426B3"/>
    <w:rsid w:val="034B4BE6"/>
    <w:rsid w:val="08955357"/>
    <w:rsid w:val="09BB7BE8"/>
    <w:rsid w:val="0C1069CD"/>
    <w:rsid w:val="0E3D3FA2"/>
    <w:rsid w:val="0F5372FC"/>
    <w:rsid w:val="10022AD1"/>
    <w:rsid w:val="11F916E7"/>
    <w:rsid w:val="12912B75"/>
    <w:rsid w:val="12A165D1"/>
    <w:rsid w:val="13B7519C"/>
    <w:rsid w:val="14553B17"/>
    <w:rsid w:val="14E37374"/>
    <w:rsid w:val="15724254"/>
    <w:rsid w:val="173F55A9"/>
    <w:rsid w:val="17DD67B5"/>
    <w:rsid w:val="18FD0D3F"/>
    <w:rsid w:val="1B9211AC"/>
    <w:rsid w:val="1BBE1FA1"/>
    <w:rsid w:val="1C2E7A7C"/>
    <w:rsid w:val="1CC57360"/>
    <w:rsid w:val="1E5170FD"/>
    <w:rsid w:val="1E6C03DB"/>
    <w:rsid w:val="1ED41ADC"/>
    <w:rsid w:val="1F5A2C9F"/>
    <w:rsid w:val="1FA022DC"/>
    <w:rsid w:val="207614C7"/>
    <w:rsid w:val="225D0766"/>
    <w:rsid w:val="22D87CF4"/>
    <w:rsid w:val="28112414"/>
    <w:rsid w:val="2A147A09"/>
    <w:rsid w:val="2BB3536E"/>
    <w:rsid w:val="2C572D83"/>
    <w:rsid w:val="2FC82F97"/>
    <w:rsid w:val="306F78B6"/>
    <w:rsid w:val="308A44ED"/>
    <w:rsid w:val="31854949"/>
    <w:rsid w:val="326940E8"/>
    <w:rsid w:val="32C33BB4"/>
    <w:rsid w:val="32C556BE"/>
    <w:rsid w:val="3373331D"/>
    <w:rsid w:val="361A2073"/>
    <w:rsid w:val="36723C5D"/>
    <w:rsid w:val="39290741"/>
    <w:rsid w:val="39E44E71"/>
    <w:rsid w:val="3B297A00"/>
    <w:rsid w:val="3C430575"/>
    <w:rsid w:val="3DB76260"/>
    <w:rsid w:val="3EEB7827"/>
    <w:rsid w:val="3FB7730C"/>
    <w:rsid w:val="41605725"/>
    <w:rsid w:val="41CC2DBB"/>
    <w:rsid w:val="4261175C"/>
    <w:rsid w:val="434370AD"/>
    <w:rsid w:val="43EF4B3E"/>
    <w:rsid w:val="44F71EFD"/>
    <w:rsid w:val="463576DF"/>
    <w:rsid w:val="46690BD8"/>
    <w:rsid w:val="46F8556B"/>
    <w:rsid w:val="46FF32EA"/>
    <w:rsid w:val="4820176A"/>
    <w:rsid w:val="48845E57"/>
    <w:rsid w:val="4A41294A"/>
    <w:rsid w:val="4BDC009E"/>
    <w:rsid w:val="4CBD57DA"/>
    <w:rsid w:val="4D8A359A"/>
    <w:rsid w:val="4E9312BA"/>
    <w:rsid w:val="4EB42C0C"/>
    <w:rsid w:val="4ED96B17"/>
    <w:rsid w:val="4F583EE0"/>
    <w:rsid w:val="503E6C32"/>
    <w:rsid w:val="51AE1162"/>
    <w:rsid w:val="53022DBC"/>
    <w:rsid w:val="54663733"/>
    <w:rsid w:val="555952BF"/>
    <w:rsid w:val="56DF1928"/>
    <w:rsid w:val="57390153"/>
    <w:rsid w:val="596105DF"/>
    <w:rsid w:val="5A4968FF"/>
    <w:rsid w:val="60255718"/>
    <w:rsid w:val="609D5770"/>
    <w:rsid w:val="614B11AE"/>
    <w:rsid w:val="61B57073"/>
    <w:rsid w:val="677B0314"/>
    <w:rsid w:val="68660FC4"/>
    <w:rsid w:val="69606921"/>
    <w:rsid w:val="6969315D"/>
    <w:rsid w:val="6A9C1377"/>
    <w:rsid w:val="6BE04BE9"/>
    <w:rsid w:val="6CD07B92"/>
    <w:rsid w:val="6D5E069E"/>
    <w:rsid w:val="75722D56"/>
    <w:rsid w:val="76783176"/>
    <w:rsid w:val="76E2215D"/>
    <w:rsid w:val="793F6A51"/>
    <w:rsid w:val="7C3F7972"/>
    <w:rsid w:val="7CB1685A"/>
    <w:rsid w:val="7D20578D"/>
    <w:rsid w:val="7EBE7751"/>
    <w:rsid w:val="7F2414F2"/>
    <w:rsid w:val="7F762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0"/>
      <w:szCs w:val="30"/>
      <w:lang w:val="en-US" w:eastAsia="zh-CN" w:bidi="ar-SA"/>
    </w:rPr>
  </w:style>
  <w:style w:type="paragraph" w:styleId="3">
    <w:name w:val="heading 1"/>
    <w:basedOn w:val="1"/>
    <w:next w:val="1"/>
    <w:link w:val="8"/>
    <w:qFormat/>
    <w:uiPriority w:val="0"/>
    <w:pPr>
      <w:keepNext/>
      <w:keepLines/>
      <w:spacing w:before="340" w:beforeLines="0" w:after="330" w:afterLines="0" w:line="576" w:lineRule="auto"/>
      <w:outlineLvl w:val="0"/>
    </w:pPr>
    <w:rPr>
      <w:rFonts w:hint="default"/>
      <w:b/>
      <w:kern w:val="44"/>
      <w:sz w:val="44"/>
    </w:rPr>
  </w:style>
  <w:style w:type="paragraph" w:styleId="4">
    <w:name w:val="heading 2"/>
    <w:basedOn w:val="1"/>
    <w:next w:val="1"/>
    <w:link w:val="9"/>
    <w:unhideWhenUsed/>
    <w:qFormat/>
    <w:uiPriority w:val="0"/>
    <w:pPr>
      <w:keepNext/>
      <w:keepLines/>
      <w:spacing w:before="260" w:beforeLines="0" w:after="260" w:afterLines="0" w:line="413" w:lineRule="auto"/>
      <w:outlineLvl w:val="1"/>
    </w:pPr>
    <w:rPr>
      <w:rFonts w:hint="default" w:ascii="Arial" w:hAnsi="Arial" w:eastAsia="黑体"/>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Lines="0" w:after="120" w:afterLines="0"/>
      <w:jc w:val="left"/>
    </w:pPr>
    <w:rPr>
      <w:rFonts w:hint="default" w:ascii="Times New Roman" w:hAnsi="Times New Roman" w:eastAsia="Times New Roman"/>
      <w:color w:val="000000"/>
      <w:kern w:val="0"/>
      <w:sz w:val="24"/>
      <w:lang w:eastAsia="en-US"/>
    </w:rPr>
  </w:style>
  <w:style w:type="paragraph" w:styleId="5">
    <w:name w:val="annotation text"/>
    <w:basedOn w:val="1"/>
    <w:qFormat/>
    <w:uiPriority w:val="0"/>
    <w:pPr>
      <w:jc w:val="left"/>
    </w:pPr>
  </w:style>
  <w:style w:type="character" w:customStyle="1" w:styleId="8">
    <w:name w:val="标题 1 Char"/>
    <w:link w:val="3"/>
    <w:unhideWhenUsed/>
    <w:qFormat/>
    <w:uiPriority w:val="0"/>
    <w:rPr>
      <w:rFonts w:hint="default"/>
      <w:b/>
      <w:kern w:val="44"/>
      <w:sz w:val="44"/>
    </w:rPr>
  </w:style>
  <w:style w:type="character" w:customStyle="1" w:styleId="9">
    <w:name w:val="标题 2 Char"/>
    <w:link w:val="4"/>
    <w:unhideWhenUsed/>
    <w:qFormat/>
    <w:uiPriority w:val="0"/>
    <w:rPr>
      <w:rFonts w:hint="default" w:ascii="Arial" w:hAnsi="Arial" w:eastAsia="黑体"/>
      <w:b/>
      <w:sz w:val="32"/>
    </w:rPr>
  </w:style>
  <w:style w:type="paragraph" w:customStyle="1" w:styleId="10">
    <w:name w:val="Table Paragraph"/>
    <w:basedOn w:val="1"/>
    <w:qFormat/>
    <w:uiPriority w:val="1"/>
    <w:rPr>
      <w:rFonts w:ascii="宋体" w:hAnsi="宋体" w:cs="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18401</Words>
  <Characters>19572</Characters>
  <Lines>0</Lines>
  <Paragraphs>0</Paragraphs>
  <TotalTime>1</TotalTime>
  <ScaleCrop>false</ScaleCrop>
  <LinksUpToDate>false</LinksUpToDate>
  <CharactersWithSpaces>19631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2022-04-07T08:36:00Z</dcterms:created>
  <dc:creator>Administrator</dc:creator>
  <cp:lastModifiedBy>降临天使</cp:lastModifiedBy>
  <cp:lastPrinted>2023-05-31T13:30:00Z</cp:lastPrinted>
  <dcterms:modified xsi:type="dcterms:W3CDTF">2023-11-30T06:18:02Z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53437472DD3B4F5EB063A6B98B661148</vt:lpwstr>
  </property>
</Properties>
</file>